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58804C">
      <w:pPr>
        <w:spacing w:line="560" w:lineRule="exact"/>
        <w:jc w:val="both"/>
        <w:rPr>
          <w:rFonts w:ascii="宋体" w:hAnsi="宋体" w:cs="宋体"/>
          <w:b/>
          <w:bCs/>
          <w:sz w:val="44"/>
          <w:szCs w:val="44"/>
        </w:rPr>
      </w:pPr>
    </w:p>
    <w:p w14:paraId="5F61DE54">
      <w:pPr>
        <w:spacing w:line="560" w:lineRule="exact"/>
        <w:jc w:val="center"/>
        <w:rPr>
          <w:rFonts w:hint="eastAsia" w:ascii="宋体" w:hAnsi="宋体" w:cs="宋体"/>
          <w:b/>
          <w:bCs/>
          <w:sz w:val="44"/>
          <w:szCs w:val="44"/>
          <w:lang w:val="en-US" w:eastAsia="zh-CN"/>
        </w:rPr>
      </w:pPr>
      <w:r>
        <w:rPr>
          <w:rFonts w:hint="eastAsia" w:ascii="宋体" w:hAnsi="宋体" w:cs="宋体"/>
          <w:b/>
          <w:bCs/>
          <w:sz w:val="44"/>
          <w:szCs w:val="44"/>
          <w:lang w:val="en-US" w:eastAsia="zh-CN"/>
        </w:rPr>
        <w:t>井陉县人民检察院</w:t>
      </w:r>
    </w:p>
    <w:p w14:paraId="71578970">
      <w:pPr>
        <w:spacing w:line="560" w:lineRule="exact"/>
        <w:jc w:val="center"/>
        <w:rPr>
          <w:rFonts w:ascii="宋体" w:hAnsi="宋体" w:cs="宋体"/>
          <w:b/>
          <w:bCs/>
          <w:sz w:val="44"/>
          <w:szCs w:val="44"/>
        </w:rPr>
      </w:pPr>
      <w:r>
        <w:rPr>
          <w:rFonts w:hint="eastAsia" w:ascii="宋体" w:hAnsi="宋体" w:cs="宋体"/>
          <w:b/>
          <w:bCs/>
          <w:sz w:val="44"/>
          <w:szCs w:val="44"/>
        </w:rPr>
        <w:t>202</w:t>
      </w:r>
      <w:r>
        <w:rPr>
          <w:rFonts w:hint="eastAsia" w:ascii="宋体" w:hAnsi="宋体" w:cs="宋体"/>
          <w:b/>
          <w:bCs/>
          <w:sz w:val="44"/>
          <w:szCs w:val="44"/>
          <w:lang w:val="en-US" w:eastAsia="zh-CN"/>
        </w:rPr>
        <w:t>5</w:t>
      </w:r>
      <w:r>
        <w:rPr>
          <w:rFonts w:hint="eastAsia" w:ascii="宋体" w:hAnsi="宋体" w:cs="宋体"/>
          <w:b/>
          <w:bCs/>
          <w:sz w:val="44"/>
          <w:szCs w:val="44"/>
        </w:rPr>
        <w:t>年度整体支出绩效自评报告</w:t>
      </w:r>
    </w:p>
    <w:p w14:paraId="7DB97C26">
      <w:pPr>
        <w:spacing w:line="560" w:lineRule="exact"/>
        <w:jc w:val="center"/>
        <w:rPr>
          <w:rFonts w:ascii="华文楷体" w:eastAsia="华文楷体"/>
          <w:sz w:val="32"/>
          <w:szCs w:val="32"/>
        </w:rPr>
      </w:pPr>
    </w:p>
    <w:p w14:paraId="49821B4E">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贯彻落实市委市政府《关于全面落实预算绩效管理的实施意见》（石发﹝2019﹞8号）文件精神，遵循“科学性、规范性、客观性和公正性”的原则，对</w:t>
      </w:r>
      <w:r>
        <w:rPr>
          <w:rFonts w:hint="eastAsia" w:ascii="仿宋" w:hAnsi="仿宋" w:eastAsia="仿宋"/>
          <w:sz w:val="32"/>
          <w:szCs w:val="32"/>
          <w:lang w:val="en-US" w:eastAsia="zh-CN"/>
        </w:rPr>
        <w:t>井陉县人民检察院</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年整体支出情况实施了财政支出绩效自评价，形成本评价报告。</w:t>
      </w:r>
    </w:p>
    <w:p w14:paraId="104816EB">
      <w:pPr>
        <w:adjustRightInd w:val="0"/>
        <w:snapToGrid w:val="0"/>
        <w:spacing w:line="560" w:lineRule="exact"/>
        <w:rPr>
          <w:rFonts w:ascii="黑体" w:hAnsi="黑体" w:eastAsia="黑体"/>
          <w:b/>
          <w:bCs/>
          <w:sz w:val="32"/>
          <w:szCs w:val="36"/>
        </w:rPr>
      </w:pPr>
      <w:r>
        <w:rPr>
          <w:rFonts w:hint="eastAsia" w:ascii="黑体" w:hAnsi="黑体" w:eastAsia="黑体"/>
          <w:sz w:val="32"/>
          <w:szCs w:val="32"/>
        </w:rPr>
        <w:t xml:space="preserve">     一、部门</w:t>
      </w:r>
      <w:r>
        <w:rPr>
          <w:rFonts w:hint="eastAsia" w:ascii="黑体" w:hAnsi="黑体" w:eastAsia="黑体"/>
          <w:sz w:val="32"/>
          <w:szCs w:val="36"/>
        </w:rPr>
        <w:t>基本情况</w:t>
      </w:r>
    </w:p>
    <w:p w14:paraId="3E4236F5">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（一）部门概况</w:t>
      </w:r>
    </w:p>
    <w:p w14:paraId="4FC211E8">
      <w:pPr>
        <w:spacing w:line="520" w:lineRule="exact"/>
        <w:ind w:firstLine="480" w:firstLineChars="150"/>
        <w:rPr>
          <w:rFonts w:ascii="仿宋" w:hAnsi="仿宋" w:eastAsia="仿宋" w:cs="仿宋_GB2312"/>
          <w:sz w:val="32"/>
          <w:szCs w:val="32"/>
        </w:rPr>
      </w:pPr>
      <w:r>
        <w:rPr>
          <w:rFonts w:hint="eastAsia" w:ascii="仿宋" w:hAnsi="仿宋" w:eastAsia="仿宋"/>
          <w:sz w:val="32"/>
          <w:szCs w:val="32"/>
        </w:rPr>
        <w:t xml:space="preserve"> </w:t>
      </w:r>
      <w:r>
        <w:rPr>
          <w:rFonts w:hint="eastAsia" w:ascii="仿宋" w:hAnsi="仿宋" w:eastAsia="仿宋" w:cs="仿宋_GB2312"/>
          <w:sz w:val="32"/>
          <w:szCs w:val="32"/>
        </w:rPr>
        <w:t>部门职责:</w:t>
      </w:r>
    </w:p>
    <w:p w14:paraId="35CE2B87">
      <w:pPr>
        <w:ind w:firstLine="640" w:firstLineChars="200"/>
        <w:rPr>
          <w:rFonts w:ascii="仿宋" w:hAnsi="仿宋" w:eastAsia="仿宋"/>
          <w:sz w:val="32"/>
          <w:szCs w:val="32"/>
        </w:rPr>
      </w:pPr>
      <w:r>
        <w:rPr>
          <w:rFonts w:hint="eastAsia" w:ascii="仿宋" w:hAnsi="仿宋" w:eastAsia="仿宋"/>
          <w:sz w:val="32"/>
          <w:szCs w:val="32"/>
        </w:rPr>
        <w:t xml:space="preserve"> 1、深入贯彻习近平新时代中国特色社会主义思想，深入贯彻党的路线方针和决策部署，坚持党对检察工作的绝对领导，坚决维护习近平总书记的核心地位，坚决维护党中央权威和集中统一领导。</w:t>
      </w:r>
    </w:p>
    <w:p w14:paraId="74DCB38D">
      <w:pPr>
        <w:ind w:firstLine="480" w:firstLineChars="150"/>
        <w:rPr>
          <w:rFonts w:ascii="仿宋" w:hAnsi="仿宋" w:eastAsia="仿宋"/>
          <w:sz w:val="32"/>
          <w:szCs w:val="32"/>
        </w:rPr>
      </w:pPr>
      <w:r>
        <w:rPr>
          <w:rFonts w:hint="eastAsia" w:ascii="仿宋" w:hAnsi="仿宋" w:eastAsia="仿宋"/>
          <w:sz w:val="32"/>
          <w:szCs w:val="32"/>
        </w:rPr>
        <w:t xml:space="preserve"> 2、依法向县人民代表大会及其常务委员会提出议案。</w:t>
      </w:r>
    </w:p>
    <w:p w14:paraId="1D34E01A">
      <w:pPr>
        <w:ind w:firstLine="480" w:firstLineChars="150"/>
        <w:rPr>
          <w:rFonts w:ascii="仿宋" w:hAnsi="仿宋" w:eastAsia="仿宋"/>
          <w:sz w:val="32"/>
          <w:szCs w:val="32"/>
        </w:rPr>
      </w:pPr>
      <w:r>
        <w:rPr>
          <w:rFonts w:hint="eastAsia" w:ascii="仿宋" w:hAnsi="仿宋" w:eastAsia="仿宋"/>
          <w:sz w:val="32"/>
          <w:szCs w:val="32"/>
        </w:rPr>
        <w:t xml:space="preserve"> 3、贯彻落实检察工作方针、总体规划，研究制定检察工作计划并组织实施。</w:t>
      </w:r>
    </w:p>
    <w:p w14:paraId="1EA234A1">
      <w:pPr>
        <w:ind w:firstLine="480" w:firstLineChars="150"/>
        <w:rPr>
          <w:rFonts w:ascii="仿宋" w:hAnsi="仿宋" w:eastAsia="仿宋"/>
          <w:sz w:val="32"/>
          <w:szCs w:val="32"/>
        </w:rPr>
      </w:pPr>
      <w:r>
        <w:rPr>
          <w:rFonts w:hint="eastAsia" w:ascii="仿宋" w:hAnsi="仿宋" w:eastAsia="仿宋"/>
          <w:sz w:val="32"/>
          <w:szCs w:val="32"/>
        </w:rPr>
        <w:t xml:space="preserve"> 4、依照法律规定对直接受理的刑事案件行使侦查权。</w:t>
      </w:r>
    </w:p>
    <w:p w14:paraId="580967F1">
      <w:pPr>
        <w:ind w:firstLine="480" w:firstLineChars="150"/>
        <w:rPr>
          <w:rFonts w:ascii="仿宋" w:hAnsi="仿宋" w:eastAsia="仿宋"/>
          <w:sz w:val="32"/>
          <w:szCs w:val="32"/>
        </w:rPr>
      </w:pPr>
      <w:r>
        <w:rPr>
          <w:rFonts w:hint="eastAsia" w:ascii="仿宋" w:hAnsi="仿宋" w:eastAsia="仿宋"/>
          <w:sz w:val="32"/>
          <w:szCs w:val="32"/>
        </w:rPr>
        <w:t xml:space="preserve"> 5、负责对辖区的各类刑事案件依法审查批准逮捕、决定逮捕、提起公诉。</w:t>
      </w:r>
    </w:p>
    <w:p w14:paraId="1E7F9264">
      <w:pPr>
        <w:ind w:firstLine="480" w:firstLineChars="150"/>
        <w:rPr>
          <w:rFonts w:ascii="仿宋" w:hAnsi="仿宋" w:eastAsia="仿宋"/>
          <w:sz w:val="32"/>
          <w:szCs w:val="32"/>
        </w:rPr>
      </w:pPr>
      <w:r>
        <w:rPr>
          <w:rFonts w:hint="eastAsia" w:ascii="仿宋" w:hAnsi="仿宋" w:eastAsia="仿宋"/>
          <w:sz w:val="32"/>
          <w:szCs w:val="32"/>
        </w:rPr>
        <w:t xml:space="preserve"> 6、负责应由本院承办的刑事、民事、行政诉讼活动及刑事、民事、行政判决和裁定等生效法律文书执行的法律监督工作。</w:t>
      </w:r>
    </w:p>
    <w:p w14:paraId="17DF1F6A">
      <w:pPr>
        <w:ind w:firstLine="480" w:firstLineChars="150"/>
        <w:rPr>
          <w:rFonts w:ascii="仿宋" w:hAnsi="仿宋" w:eastAsia="仿宋"/>
          <w:sz w:val="32"/>
          <w:szCs w:val="32"/>
        </w:rPr>
      </w:pPr>
      <w:r>
        <w:rPr>
          <w:rFonts w:hint="eastAsia" w:ascii="仿宋" w:hAnsi="仿宋" w:eastAsia="仿宋"/>
          <w:sz w:val="32"/>
          <w:szCs w:val="32"/>
        </w:rPr>
        <w:t xml:space="preserve"> 7、负责应由本院承办的提起公益诉讼工作。</w:t>
      </w:r>
    </w:p>
    <w:p w14:paraId="0CD5AC07">
      <w:pPr>
        <w:ind w:firstLine="480" w:firstLineChars="150"/>
        <w:rPr>
          <w:rFonts w:ascii="仿宋" w:hAnsi="仿宋" w:eastAsia="仿宋"/>
          <w:sz w:val="32"/>
          <w:szCs w:val="32"/>
        </w:rPr>
      </w:pPr>
      <w:r>
        <w:rPr>
          <w:rFonts w:hint="eastAsia" w:ascii="仿宋" w:hAnsi="仿宋" w:eastAsia="仿宋"/>
          <w:sz w:val="32"/>
          <w:szCs w:val="32"/>
        </w:rPr>
        <w:t xml:space="preserve"> 8、依法受理核准追诉案件，审查是否上报。</w:t>
      </w:r>
    </w:p>
    <w:p w14:paraId="78480E1A">
      <w:pPr>
        <w:ind w:firstLine="480" w:firstLineChars="150"/>
        <w:rPr>
          <w:rFonts w:ascii="仿宋" w:hAnsi="仿宋" w:eastAsia="仿宋"/>
          <w:sz w:val="32"/>
          <w:szCs w:val="32"/>
        </w:rPr>
      </w:pPr>
      <w:r>
        <w:rPr>
          <w:rFonts w:hint="eastAsia" w:ascii="仿宋" w:hAnsi="仿宋" w:eastAsia="仿宋"/>
          <w:sz w:val="32"/>
          <w:szCs w:val="32"/>
        </w:rPr>
        <w:t xml:space="preserve"> 9、负责应由本院承办的对看守所、社区矫正等执法活动的法律监督工作。</w:t>
      </w:r>
    </w:p>
    <w:p w14:paraId="57AB5C79">
      <w:pPr>
        <w:ind w:firstLine="480" w:firstLineChars="150"/>
        <w:rPr>
          <w:rFonts w:ascii="仿宋" w:hAnsi="仿宋" w:eastAsia="仿宋"/>
          <w:sz w:val="32"/>
          <w:szCs w:val="32"/>
        </w:rPr>
      </w:pPr>
      <w:r>
        <w:rPr>
          <w:rFonts w:hint="eastAsia" w:ascii="仿宋" w:hAnsi="仿宋" w:eastAsia="仿宋"/>
          <w:sz w:val="32"/>
          <w:szCs w:val="32"/>
        </w:rPr>
        <w:t xml:space="preserve"> 10、受理向本院的控告申诉。</w:t>
      </w:r>
    </w:p>
    <w:p w14:paraId="224AB4CE">
      <w:pPr>
        <w:ind w:firstLine="480" w:firstLineChars="150"/>
        <w:rPr>
          <w:rFonts w:ascii="仿宋" w:hAnsi="仿宋" w:eastAsia="仿宋"/>
          <w:sz w:val="32"/>
          <w:szCs w:val="32"/>
        </w:rPr>
      </w:pPr>
      <w:r>
        <w:rPr>
          <w:rFonts w:hint="eastAsia" w:ascii="仿宋" w:hAnsi="仿宋" w:eastAsia="仿宋"/>
          <w:sz w:val="32"/>
          <w:szCs w:val="32"/>
        </w:rPr>
        <w:t xml:space="preserve"> 11、组织检察工作中法律政策具体应用问题的研究；组织开展检察理论研究工作。</w:t>
      </w:r>
    </w:p>
    <w:p w14:paraId="030AF92B">
      <w:pPr>
        <w:ind w:firstLine="480" w:firstLineChars="150"/>
        <w:rPr>
          <w:rFonts w:ascii="仿宋" w:hAnsi="仿宋" w:eastAsia="仿宋"/>
          <w:sz w:val="32"/>
          <w:szCs w:val="32"/>
        </w:rPr>
      </w:pPr>
      <w:r>
        <w:rPr>
          <w:rFonts w:hint="eastAsia" w:ascii="仿宋" w:hAnsi="仿宋" w:eastAsia="仿宋"/>
          <w:sz w:val="32"/>
          <w:szCs w:val="32"/>
        </w:rPr>
        <w:t xml:space="preserve"> 12、负责检察人员思想政治教育和业务培训工作；按照权限管理检察官和其他工作人员。</w:t>
      </w:r>
    </w:p>
    <w:p w14:paraId="1E28094F">
      <w:pPr>
        <w:ind w:firstLine="480" w:firstLineChars="150"/>
        <w:rPr>
          <w:rFonts w:ascii="仿宋" w:hAnsi="仿宋" w:eastAsia="仿宋"/>
          <w:sz w:val="32"/>
          <w:szCs w:val="32"/>
        </w:rPr>
      </w:pPr>
      <w:r>
        <w:rPr>
          <w:rFonts w:hint="eastAsia" w:ascii="仿宋" w:hAnsi="仿宋" w:eastAsia="仿宋"/>
          <w:sz w:val="32"/>
          <w:szCs w:val="32"/>
        </w:rPr>
        <w:t xml:space="preserve"> 13、负责本院检务督查工作。</w:t>
      </w:r>
    </w:p>
    <w:p w14:paraId="40413F7E">
      <w:pPr>
        <w:ind w:firstLine="480" w:firstLineChars="150"/>
        <w:rPr>
          <w:rFonts w:ascii="仿宋" w:hAnsi="仿宋" w:eastAsia="仿宋"/>
          <w:sz w:val="32"/>
          <w:szCs w:val="32"/>
        </w:rPr>
      </w:pPr>
      <w:r>
        <w:rPr>
          <w:rFonts w:hint="eastAsia" w:ascii="仿宋" w:hAnsi="仿宋" w:eastAsia="仿宋"/>
          <w:sz w:val="32"/>
          <w:szCs w:val="32"/>
        </w:rPr>
        <w:t xml:space="preserve"> 14、负责本院检务保障以及检察技术、信息化建设工作。</w:t>
      </w:r>
    </w:p>
    <w:p w14:paraId="04143CC3">
      <w:pPr>
        <w:adjustRightInd w:val="0"/>
        <w:snapToGrid w:val="0"/>
        <w:spacing w:line="560" w:lineRule="exact"/>
        <w:ind w:firstLine="480" w:firstLineChars="150"/>
        <w:rPr>
          <w:rFonts w:ascii="仿宋" w:hAnsi="仿宋" w:eastAsia="仿宋"/>
          <w:sz w:val="32"/>
          <w:szCs w:val="32"/>
        </w:rPr>
      </w:pPr>
      <w:r>
        <w:rPr>
          <w:rFonts w:hint="eastAsia" w:ascii="仿宋" w:hAnsi="仿宋" w:eastAsia="仿宋"/>
          <w:sz w:val="32"/>
          <w:szCs w:val="32"/>
        </w:rPr>
        <w:t xml:space="preserve"> 15、完成其他应当由本院负责的工作。</w:t>
      </w:r>
    </w:p>
    <w:p w14:paraId="014BE21B">
      <w:pPr>
        <w:adjustRightInd w:val="0"/>
        <w:snapToGrid w:val="0"/>
        <w:spacing w:line="560" w:lineRule="exact"/>
        <w:rPr>
          <w:rFonts w:ascii="仿宋" w:hAnsi="仿宋" w:eastAsia="仿宋"/>
          <w:sz w:val="32"/>
          <w:szCs w:val="32"/>
        </w:rPr>
      </w:pPr>
      <w:r>
        <w:rPr>
          <w:rFonts w:hint="eastAsia" w:ascii="仿宋" w:hAnsi="仿宋" w:eastAsia="仿宋"/>
          <w:sz w:val="32"/>
          <w:szCs w:val="32"/>
        </w:rPr>
        <w:t>组织机构及人员：</w:t>
      </w:r>
    </w:p>
    <w:p w14:paraId="065812AC">
      <w:pPr>
        <w:adjustRightInd w:val="0"/>
        <w:snapToGrid w:val="0"/>
        <w:spacing w:line="560" w:lineRule="exact"/>
        <w:ind w:firstLine="640" w:firstLineChars="200"/>
        <w:jc w:val="center"/>
        <w:rPr>
          <w:rFonts w:ascii="仿宋" w:hAnsi="仿宋" w:eastAsia="仿宋"/>
          <w:sz w:val="32"/>
          <w:szCs w:val="32"/>
        </w:rPr>
      </w:pPr>
      <w:r>
        <w:rPr>
          <w:rFonts w:hint="eastAsia" w:ascii="仿宋" w:hAnsi="仿宋" w:eastAsia="仿宋"/>
          <w:sz w:val="32"/>
          <w:szCs w:val="32"/>
        </w:rPr>
        <w:t>部门机构设置情况</w:t>
      </w:r>
    </w:p>
    <w:tbl>
      <w:tblPr>
        <w:tblStyle w:val="6"/>
        <w:tblW w:w="0" w:type="auto"/>
        <w:jc w:val="center"/>
        <w:tblLayout w:type="fixed"/>
        <w:tblCellMar>
          <w:top w:w="0" w:type="dxa"/>
          <w:left w:w="108" w:type="dxa"/>
          <w:bottom w:w="0" w:type="dxa"/>
          <w:right w:w="108" w:type="dxa"/>
        </w:tblCellMar>
      </w:tblPr>
      <w:tblGrid>
        <w:gridCol w:w="2786"/>
        <w:gridCol w:w="1559"/>
        <w:gridCol w:w="1559"/>
        <w:gridCol w:w="3124"/>
      </w:tblGrid>
      <w:tr w14:paraId="007CA626">
        <w:tblPrEx>
          <w:tblCellMar>
            <w:top w:w="0" w:type="dxa"/>
            <w:left w:w="108" w:type="dxa"/>
            <w:bottom w:w="0" w:type="dxa"/>
            <w:right w:w="108" w:type="dxa"/>
          </w:tblCellMar>
        </w:tblPrEx>
        <w:trPr>
          <w:trHeight w:val="710" w:hRule="atLeast"/>
          <w:jc w:val="center"/>
        </w:trPr>
        <w:tc>
          <w:tcPr>
            <w:tcW w:w="2786" w:type="dxa"/>
            <w:tcBorders>
              <w:top w:val="single" w:color="000000" w:sz="4" w:space="0"/>
              <w:left w:val="single" w:color="000000" w:sz="4" w:space="0"/>
              <w:bottom w:val="single" w:color="000000" w:sz="4" w:space="0"/>
              <w:right w:val="single" w:color="000000" w:sz="4" w:space="0"/>
            </w:tcBorders>
            <w:vAlign w:val="center"/>
          </w:tcPr>
          <w:p w14:paraId="39DC958E">
            <w:pPr>
              <w:widowControl/>
              <w:ind w:firstLine="640"/>
              <w:jc w:val="left"/>
              <w:rPr>
                <w:rFonts w:ascii="仿宋" w:hAnsi="仿宋" w:eastAsia="仿宋"/>
                <w:sz w:val="32"/>
                <w:szCs w:val="32"/>
              </w:rPr>
            </w:pPr>
            <w:r>
              <w:rPr>
                <w:rFonts w:hint="eastAsia" w:ascii="仿宋" w:hAnsi="仿宋" w:eastAsia="仿宋"/>
                <w:sz w:val="32"/>
                <w:szCs w:val="32"/>
              </w:rPr>
              <w:t>单位名称</w:t>
            </w:r>
          </w:p>
        </w:tc>
        <w:tc>
          <w:tcPr>
            <w:tcW w:w="1559" w:type="dxa"/>
            <w:tcBorders>
              <w:top w:val="single" w:color="000000" w:sz="4" w:space="0"/>
              <w:left w:val="nil"/>
              <w:bottom w:val="single" w:color="000000" w:sz="4" w:space="0"/>
              <w:right w:val="single" w:color="000000" w:sz="4" w:space="0"/>
            </w:tcBorders>
            <w:vAlign w:val="center"/>
          </w:tcPr>
          <w:p w14:paraId="3032043F">
            <w:pPr>
              <w:widowControl/>
              <w:jc w:val="left"/>
              <w:rPr>
                <w:rFonts w:ascii="仿宋" w:hAnsi="仿宋" w:eastAsia="仿宋"/>
                <w:sz w:val="32"/>
                <w:szCs w:val="32"/>
              </w:rPr>
            </w:pPr>
            <w:r>
              <w:rPr>
                <w:rFonts w:hint="eastAsia" w:ascii="仿宋" w:hAnsi="仿宋" w:eastAsia="仿宋"/>
                <w:sz w:val="32"/>
                <w:szCs w:val="32"/>
              </w:rPr>
              <w:t>单位性质</w:t>
            </w:r>
          </w:p>
        </w:tc>
        <w:tc>
          <w:tcPr>
            <w:tcW w:w="1559" w:type="dxa"/>
            <w:tcBorders>
              <w:top w:val="single" w:color="000000" w:sz="4" w:space="0"/>
              <w:left w:val="nil"/>
              <w:bottom w:val="single" w:color="000000" w:sz="4" w:space="0"/>
              <w:right w:val="single" w:color="000000" w:sz="4" w:space="0"/>
            </w:tcBorders>
            <w:vAlign w:val="center"/>
          </w:tcPr>
          <w:p w14:paraId="1334AE9C">
            <w:pPr>
              <w:widowControl/>
              <w:jc w:val="left"/>
              <w:rPr>
                <w:rFonts w:ascii="仿宋" w:hAnsi="仿宋" w:eastAsia="仿宋"/>
                <w:sz w:val="32"/>
                <w:szCs w:val="32"/>
              </w:rPr>
            </w:pPr>
            <w:r>
              <w:rPr>
                <w:rFonts w:hint="eastAsia" w:ascii="仿宋" w:hAnsi="仿宋" w:eastAsia="仿宋"/>
                <w:sz w:val="32"/>
                <w:szCs w:val="32"/>
              </w:rPr>
              <w:t>单位规格</w:t>
            </w:r>
          </w:p>
        </w:tc>
        <w:tc>
          <w:tcPr>
            <w:tcW w:w="3124" w:type="dxa"/>
            <w:tcBorders>
              <w:top w:val="single" w:color="000000" w:sz="4" w:space="0"/>
              <w:left w:val="nil"/>
              <w:bottom w:val="single" w:color="000000" w:sz="4" w:space="0"/>
              <w:right w:val="single" w:color="000000" w:sz="4" w:space="0"/>
            </w:tcBorders>
            <w:vAlign w:val="center"/>
          </w:tcPr>
          <w:p w14:paraId="57EC1855">
            <w:pPr>
              <w:widowControl/>
              <w:ind w:firstLine="640"/>
              <w:jc w:val="left"/>
              <w:rPr>
                <w:rFonts w:ascii="仿宋" w:hAnsi="仿宋" w:eastAsia="仿宋"/>
                <w:sz w:val="32"/>
                <w:szCs w:val="32"/>
              </w:rPr>
            </w:pPr>
            <w:r>
              <w:rPr>
                <w:rFonts w:hint="eastAsia" w:ascii="仿宋" w:hAnsi="仿宋" w:eastAsia="仿宋"/>
                <w:sz w:val="32"/>
                <w:szCs w:val="32"/>
              </w:rPr>
              <w:t>经费保障形式</w:t>
            </w:r>
          </w:p>
        </w:tc>
      </w:tr>
      <w:tr w14:paraId="2184EC0F">
        <w:tblPrEx>
          <w:tblCellMar>
            <w:top w:w="0" w:type="dxa"/>
            <w:left w:w="108" w:type="dxa"/>
            <w:bottom w:w="0" w:type="dxa"/>
            <w:right w:w="108" w:type="dxa"/>
          </w:tblCellMar>
        </w:tblPrEx>
        <w:trPr>
          <w:trHeight w:val="325" w:hRule="atLeast"/>
          <w:jc w:val="center"/>
        </w:trPr>
        <w:tc>
          <w:tcPr>
            <w:tcW w:w="2786" w:type="dxa"/>
            <w:tcBorders>
              <w:top w:val="single" w:color="000000" w:sz="4" w:space="0"/>
              <w:left w:val="single" w:color="000000" w:sz="4" w:space="0"/>
              <w:bottom w:val="single" w:color="000000" w:sz="4" w:space="0"/>
              <w:right w:val="single" w:color="000000" w:sz="4" w:space="0"/>
            </w:tcBorders>
            <w:vAlign w:val="center"/>
          </w:tcPr>
          <w:p w14:paraId="3D245EFA">
            <w:pPr>
              <w:widowControl/>
              <w:jc w:val="left"/>
              <w:rPr>
                <w:rFonts w:ascii="仿宋" w:hAnsi="仿宋" w:eastAsia="仿宋"/>
                <w:sz w:val="32"/>
                <w:szCs w:val="32"/>
              </w:rPr>
            </w:pPr>
            <w:r>
              <w:rPr>
                <w:rFonts w:hint="eastAsia" w:ascii="仿宋" w:hAnsi="仿宋" w:eastAsia="仿宋"/>
                <w:sz w:val="32"/>
                <w:szCs w:val="32"/>
              </w:rPr>
              <w:t>井陉县人民检察院</w:t>
            </w:r>
          </w:p>
        </w:tc>
        <w:tc>
          <w:tcPr>
            <w:tcW w:w="1559" w:type="dxa"/>
            <w:tcBorders>
              <w:top w:val="single" w:color="000000" w:sz="4" w:space="0"/>
              <w:left w:val="nil"/>
              <w:bottom w:val="single" w:color="000000" w:sz="4" w:space="0"/>
              <w:right w:val="single" w:color="000000" w:sz="4" w:space="0"/>
            </w:tcBorders>
            <w:vAlign w:val="center"/>
          </w:tcPr>
          <w:p w14:paraId="705F2B4D">
            <w:pPr>
              <w:widowControl/>
              <w:jc w:val="center"/>
              <w:rPr>
                <w:rFonts w:ascii="仿宋" w:hAnsi="仿宋" w:eastAsia="仿宋"/>
                <w:sz w:val="32"/>
                <w:szCs w:val="32"/>
              </w:rPr>
            </w:pPr>
            <w:r>
              <w:rPr>
                <w:rFonts w:hint="eastAsia" w:ascii="仿宋" w:hAnsi="仿宋" w:eastAsia="仿宋"/>
                <w:sz w:val="32"/>
                <w:szCs w:val="32"/>
              </w:rPr>
              <w:t>政法</w:t>
            </w:r>
          </w:p>
        </w:tc>
        <w:tc>
          <w:tcPr>
            <w:tcW w:w="1559" w:type="dxa"/>
            <w:tcBorders>
              <w:top w:val="single" w:color="000000" w:sz="4" w:space="0"/>
              <w:left w:val="nil"/>
              <w:bottom w:val="single" w:color="000000" w:sz="4" w:space="0"/>
              <w:right w:val="single" w:color="000000" w:sz="4" w:space="0"/>
            </w:tcBorders>
            <w:vAlign w:val="center"/>
          </w:tcPr>
          <w:p w14:paraId="6DDDADBF">
            <w:pPr>
              <w:widowControl/>
              <w:jc w:val="center"/>
              <w:rPr>
                <w:rFonts w:ascii="仿宋" w:hAnsi="仿宋" w:eastAsia="仿宋"/>
                <w:sz w:val="32"/>
                <w:szCs w:val="32"/>
              </w:rPr>
            </w:pPr>
            <w:r>
              <w:rPr>
                <w:rFonts w:hint="eastAsia" w:ascii="仿宋" w:hAnsi="仿宋" w:eastAsia="仿宋"/>
                <w:sz w:val="32"/>
                <w:szCs w:val="32"/>
              </w:rPr>
              <w:t>副处级</w:t>
            </w:r>
          </w:p>
        </w:tc>
        <w:tc>
          <w:tcPr>
            <w:tcW w:w="3124" w:type="dxa"/>
            <w:tcBorders>
              <w:top w:val="single" w:color="000000" w:sz="4" w:space="0"/>
              <w:left w:val="nil"/>
              <w:bottom w:val="single" w:color="000000" w:sz="4" w:space="0"/>
              <w:right w:val="single" w:color="000000" w:sz="4" w:space="0"/>
            </w:tcBorders>
            <w:vAlign w:val="center"/>
          </w:tcPr>
          <w:p w14:paraId="0312D06D">
            <w:pPr>
              <w:widowControl/>
              <w:ind w:firstLine="640"/>
              <w:jc w:val="left"/>
              <w:rPr>
                <w:rFonts w:ascii="仿宋" w:hAnsi="仿宋" w:eastAsia="仿宋"/>
                <w:sz w:val="32"/>
                <w:szCs w:val="32"/>
              </w:rPr>
            </w:pPr>
            <w:r>
              <w:rPr>
                <w:rFonts w:hint="eastAsia" w:ascii="仿宋" w:hAnsi="仿宋" w:eastAsia="仿宋"/>
                <w:sz w:val="32"/>
                <w:szCs w:val="32"/>
              </w:rPr>
              <w:t>财政拨款</w:t>
            </w:r>
          </w:p>
        </w:tc>
      </w:tr>
    </w:tbl>
    <w:p w14:paraId="129FD418">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 xml:space="preserve"> 202</w:t>
      </w:r>
      <w:r>
        <w:rPr>
          <w:rFonts w:hint="eastAsia" w:ascii="仿宋" w:hAnsi="仿宋" w:eastAsia="仿宋"/>
          <w:sz w:val="32"/>
          <w:szCs w:val="32"/>
          <w:lang w:val="en-US" w:eastAsia="zh-CN"/>
        </w:rPr>
        <w:t>5</w:t>
      </w:r>
      <w:r>
        <w:rPr>
          <w:rFonts w:hint="eastAsia" w:ascii="仿宋" w:hAnsi="仿宋" w:eastAsia="仿宋"/>
          <w:sz w:val="32"/>
          <w:szCs w:val="32"/>
        </w:rPr>
        <w:t>年末，我院政法编制37个，在职干警33人。聘用制书记员1</w:t>
      </w:r>
      <w:r>
        <w:rPr>
          <w:rFonts w:hint="eastAsia" w:ascii="仿宋" w:hAnsi="仿宋" w:eastAsia="仿宋"/>
          <w:sz w:val="32"/>
          <w:szCs w:val="32"/>
          <w:lang w:val="en-US" w:eastAsia="zh-CN"/>
        </w:rPr>
        <w:t>0</w:t>
      </w:r>
      <w:r>
        <w:rPr>
          <w:rFonts w:hint="eastAsia" w:ascii="仿宋" w:hAnsi="仿宋" w:eastAsia="仿宋"/>
          <w:sz w:val="32"/>
          <w:szCs w:val="32"/>
        </w:rPr>
        <w:t>人。202</w:t>
      </w:r>
      <w:r>
        <w:rPr>
          <w:rFonts w:hint="eastAsia" w:ascii="仿宋" w:hAnsi="仿宋" w:eastAsia="仿宋"/>
          <w:sz w:val="32"/>
          <w:szCs w:val="32"/>
          <w:lang w:val="en-US" w:eastAsia="zh-CN"/>
        </w:rPr>
        <w:t>5</w:t>
      </w:r>
      <w:r>
        <w:rPr>
          <w:rFonts w:hint="eastAsia" w:ascii="仿宋" w:hAnsi="仿宋" w:eastAsia="仿宋"/>
          <w:sz w:val="32"/>
          <w:szCs w:val="32"/>
        </w:rPr>
        <w:t>年人员变动情况：退休</w:t>
      </w:r>
      <w:r>
        <w:rPr>
          <w:rFonts w:hint="eastAsia" w:ascii="仿宋" w:hAnsi="仿宋" w:eastAsia="仿宋"/>
          <w:sz w:val="32"/>
          <w:szCs w:val="32"/>
          <w:lang w:val="en-US" w:eastAsia="zh-CN"/>
        </w:rPr>
        <w:t>3</w:t>
      </w:r>
      <w:r>
        <w:rPr>
          <w:rFonts w:hint="eastAsia" w:ascii="仿宋" w:hAnsi="仿宋" w:eastAsia="仿宋"/>
          <w:sz w:val="32"/>
          <w:szCs w:val="32"/>
        </w:rPr>
        <w:t>人</w:t>
      </w:r>
      <w:r>
        <w:rPr>
          <w:rFonts w:hint="eastAsia" w:ascii="仿宋" w:hAnsi="仿宋" w:eastAsia="仿宋"/>
          <w:sz w:val="32"/>
          <w:szCs w:val="32"/>
          <w:lang w:eastAsia="zh-CN"/>
        </w:rPr>
        <w:t>，</w:t>
      </w:r>
      <w:r>
        <w:rPr>
          <w:rFonts w:hint="eastAsia" w:ascii="仿宋" w:hAnsi="仿宋" w:eastAsia="仿宋"/>
          <w:sz w:val="32"/>
          <w:szCs w:val="32"/>
          <w:lang w:val="en-US" w:eastAsia="zh-CN"/>
        </w:rPr>
        <w:t>新录用5人。</w:t>
      </w:r>
    </w:p>
    <w:p w14:paraId="0AC2E359">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国有资产信息：截止202</w:t>
      </w:r>
      <w:r>
        <w:rPr>
          <w:rFonts w:hint="eastAsia" w:ascii="仿宋" w:hAnsi="仿宋" w:eastAsia="仿宋"/>
          <w:sz w:val="32"/>
          <w:szCs w:val="32"/>
          <w:lang w:val="en-US" w:eastAsia="zh-CN"/>
        </w:rPr>
        <w:t>5</w:t>
      </w:r>
      <w:r>
        <w:rPr>
          <w:rFonts w:hint="eastAsia" w:ascii="仿宋" w:hAnsi="仿宋" w:eastAsia="仿宋"/>
          <w:sz w:val="32"/>
          <w:szCs w:val="32"/>
        </w:rPr>
        <w:t>年年底，井陉县人民检察院国有资产累计金额</w:t>
      </w:r>
      <w:r>
        <w:rPr>
          <w:rFonts w:hint="eastAsia" w:ascii="仿宋" w:hAnsi="仿宋" w:eastAsia="仿宋"/>
          <w:sz w:val="32"/>
          <w:szCs w:val="32"/>
          <w:lang w:val="en-US" w:eastAsia="zh-CN"/>
        </w:rPr>
        <w:t>1615.11万</w:t>
      </w:r>
      <w:r>
        <w:rPr>
          <w:rFonts w:hint="eastAsia" w:ascii="仿宋" w:hAnsi="仿宋" w:eastAsia="仿宋"/>
          <w:sz w:val="32"/>
          <w:szCs w:val="32"/>
        </w:rPr>
        <w:t>元，其中土地房屋总计765</w:t>
      </w:r>
      <w:r>
        <w:rPr>
          <w:rFonts w:hint="eastAsia" w:ascii="仿宋" w:hAnsi="仿宋" w:eastAsia="仿宋"/>
          <w:sz w:val="32"/>
          <w:szCs w:val="32"/>
          <w:lang w:val="en-US" w:eastAsia="zh-CN"/>
        </w:rPr>
        <w:t>.</w:t>
      </w:r>
      <w:r>
        <w:rPr>
          <w:rFonts w:hint="eastAsia" w:ascii="仿宋" w:hAnsi="仿宋" w:eastAsia="仿宋"/>
          <w:sz w:val="32"/>
          <w:szCs w:val="32"/>
        </w:rPr>
        <w:t>16</w:t>
      </w:r>
      <w:r>
        <w:rPr>
          <w:rFonts w:hint="eastAsia" w:ascii="仿宋" w:hAnsi="仿宋" w:eastAsia="仿宋"/>
          <w:sz w:val="32"/>
          <w:szCs w:val="32"/>
          <w:lang w:val="en-US" w:eastAsia="zh-CN"/>
        </w:rPr>
        <w:t>万</w:t>
      </w:r>
      <w:r>
        <w:rPr>
          <w:rFonts w:hint="eastAsia" w:ascii="仿宋" w:hAnsi="仿宋" w:eastAsia="仿宋"/>
          <w:sz w:val="32"/>
          <w:szCs w:val="32"/>
        </w:rPr>
        <w:t>元，其他固定资产</w:t>
      </w:r>
      <w:r>
        <w:rPr>
          <w:rFonts w:hint="eastAsia" w:ascii="仿宋" w:hAnsi="仿宋" w:eastAsia="仿宋"/>
          <w:sz w:val="32"/>
          <w:szCs w:val="32"/>
          <w:lang w:val="en-US" w:eastAsia="zh-CN"/>
        </w:rPr>
        <w:t>760.61</w:t>
      </w:r>
      <w:r>
        <w:rPr>
          <w:rFonts w:hint="eastAsia" w:ascii="仿宋" w:hAnsi="仿宋" w:eastAsia="仿宋"/>
          <w:sz w:val="32"/>
          <w:szCs w:val="32"/>
        </w:rPr>
        <w:t>元，单位共有车辆6辆，总计金额</w:t>
      </w:r>
      <w:r>
        <w:rPr>
          <w:rFonts w:hint="eastAsia" w:ascii="仿宋" w:hAnsi="仿宋" w:eastAsia="仿宋"/>
          <w:sz w:val="32"/>
          <w:szCs w:val="32"/>
          <w:lang w:val="en-US" w:eastAsia="zh-CN"/>
        </w:rPr>
        <w:t>89.34万</w:t>
      </w:r>
      <w:r>
        <w:rPr>
          <w:rFonts w:hint="eastAsia" w:ascii="仿宋" w:hAnsi="仿宋" w:eastAsia="仿宋"/>
          <w:sz w:val="32"/>
          <w:szCs w:val="32"/>
        </w:rPr>
        <w:t>元。</w:t>
      </w:r>
    </w:p>
    <w:p w14:paraId="21AC68A8">
      <w:pPr>
        <w:numPr>
          <w:ilvl w:val="0"/>
          <w:numId w:val="1"/>
        </w:numPr>
        <w:adjustRightInd w:val="0"/>
        <w:snapToGrid w:val="0"/>
        <w:spacing w:line="560" w:lineRule="exact"/>
        <w:ind w:firstLine="640" w:firstLineChars="200"/>
        <w:rPr>
          <w:rFonts w:hint="eastAsia" w:ascii="楷体" w:hAnsi="楷体" w:eastAsia="楷体" w:cs="楷体_GB2312"/>
          <w:bCs/>
          <w:sz w:val="32"/>
          <w:szCs w:val="32"/>
        </w:rPr>
      </w:pPr>
      <w:r>
        <w:rPr>
          <w:rFonts w:hint="eastAsia" w:ascii="楷体" w:hAnsi="楷体" w:eastAsia="楷体" w:cs="楷体_GB2312"/>
          <w:bCs/>
          <w:sz w:val="32"/>
          <w:szCs w:val="32"/>
        </w:rPr>
        <w:t>部门收支预决算情况</w:t>
      </w:r>
    </w:p>
    <w:p w14:paraId="2A8D3EB7">
      <w:pPr>
        <w:pStyle w:val="8"/>
        <w:rPr>
          <w:rFonts w:ascii="仿宋" w:hAnsi="仿宋" w:eastAsia="仿宋"/>
          <w:sz w:val="32"/>
          <w:szCs w:val="32"/>
        </w:rPr>
      </w:pPr>
      <w:r>
        <w:rPr>
          <w:rFonts w:hint="eastAsia" w:ascii="楷体" w:hAnsi="楷体" w:eastAsia="楷体" w:cs="楷体_GB2312"/>
          <w:bCs/>
          <w:sz w:val="32"/>
          <w:szCs w:val="32"/>
        </w:rPr>
        <w:t xml:space="preserve"> </w:t>
      </w:r>
      <w:r>
        <w:rPr>
          <w:rFonts w:hint="eastAsia" w:ascii="楷体" w:hAnsi="楷体" w:eastAsia="楷体" w:cs="楷体_GB2312"/>
          <w:bCs/>
          <w:sz w:val="32"/>
          <w:szCs w:val="32"/>
          <w:lang w:val="en-US" w:eastAsia="zh-CN"/>
        </w:rPr>
        <w:t xml:space="preserve"> </w:t>
      </w: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年度，井陉县人民检察院预算收入</w:t>
      </w:r>
      <w:r>
        <w:rPr>
          <w:rFonts w:hint="eastAsia" w:ascii="仿宋" w:hAnsi="仿宋" w:eastAsia="仿宋"/>
          <w:sz w:val="32"/>
          <w:szCs w:val="32"/>
          <w:lang w:val="en-US" w:eastAsia="zh-CN"/>
        </w:rPr>
        <w:t>1037.09</w:t>
      </w:r>
      <w:r>
        <w:rPr>
          <w:rFonts w:hint="eastAsia" w:ascii="仿宋" w:hAnsi="仿宋" w:eastAsia="仿宋"/>
          <w:sz w:val="32"/>
          <w:szCs w:val="32"/>
        </w:rPr>
        <w:t>万元，其中：一般公共预算收入</w:t>
      </w:r>
      <w:r>
        <w:rPr>
          <w:rFonts w:hint="eastAsia" w:ascii="仿宋" w:hAnsi="仿宋" w:eastAsia="仿宋"/>
          <w:sz w:val="32"/>
          <w:szCs w:val="32"/>
          <w:lang w:val="en-US" w:eastAsia="zh-CN"/>
        </w:rPr>
        <w:t>1037.09</w:t>
      </w:r>
      <w:r>
        <w:rPr>
          <w:rFonts w:hint="eastAsia" w:ascii="仿宋" w:hAnsi="仿宋" w:eastAsia="仿宋"/>
          <w:sz w:val="32"/>
          <w:szCs w:val="32"/>
        </w:rPr>
        <w:t>万元,其中基本支出760.19万元，包括人员经费668.20万元和日常公用经费91.99万元；项目支出276.90万元，主要为1、劳动聘用人员经费28万元；2、聘用制书记员人员经费75万元；3、专项业务经费4.68万元；4、政法纪检监察办案业务经费、装备经费等157万元；5、单位运行电费等9万元；6、党组织活动经费等3.22万元。</w:t>
      </w:r>
    </w:p>
    <w:p w14:paraId="0EFE8498">
      <w:pPr>
        <w:ind w:firstLine="640" w:firstLineChars="200"/>
        <w:rPr>
          <w:rFonts w:hint="eastAsia" w:ascii="楷体" w:hAnsi="楷体" w:eastAsia="楷体" w:cs="楷体_GB2312"/>
          <w:bCs/>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年，我部门经费支出</w:t>
      </w:r>
      <w:r>
        <w:rPr>
          <w:rFonts w:hint="eastAsia" w:ascii="仿宋" w:hAnsi="仿宋" w:eastAsia="仿宋"/>
          <w:sz w:val="32"/>
          <w:szCs w:val="32"/>
          <w:lang w:val="en-US" w:eastAsia="zh-CN"/>
        </w:rPr>
        <w:t>937.02</w:t>
      </w:r>
      <w:r>
        <w:rPr>
          <w:rFonts w:hint="eastAsia" w:ascii="仿宋" w:hAnsi="仿宋" w:eastAsia="仿宋"/>
          <w:sz w:val="32"/>
          <w:szCs w:val="32"/>
        </w:rPr>
        <w:t>万元，其中项目支出</w:t>
      </w:r>
      <w:r>
        <w:rPr>
          <w:rFonts w:hint="eastAsia" w:ascii="仿宋" w:hAnsi="仿宋" w:eastAsia="仿宋"/>
          <w:sz w:val="32"/>
          <w:szCs w:val="32"/>
          <w:lang w:val="en-US" w:eastAsia="zh-CN"/>
        </w:rPr>
        <w:t>274.42</w:t>
      </w:r>
      <w:r>
        <w:rPr>
          <w:rFonts w:hint="eastAsia" w:ascii="仿宋" w:hAnsi="仿宋" w:eastAsia="仿宋"/>
          <w:sz w:val="32"/>
          <w:szCs w:val="32"/>
        </w:rPr>
        <w:t>万元，占总支出的</w:t>
      </w:r>
      <w:r>
        <w:rPr>
          <w:rFonts w:hint="eastAsia" w:ascii="仿宋" w:hAnsi="仿宋" w:eastAsia="仿宋"/>
          <w:sz w:val="32"/>
          <w:szCs w:val="32"/>
          <w:lang w:val="en-US" w:eastAsia="zh-CN"/>
        </w:rPr>
        <w:t>29.29</w:t>
      </w:r>
      <w:r>
        <w:rPr>
          <w:rFonts w:hint="eastAsia" w:ascii="仿宋" w:hAnsi="仿宋" w:eastAsia="仿宋"/>
          <w:sz w:val="32"/>
          <w:szCs w:val="32"/>
        </w:rPr>
        <w:t>%；基本支出</w:t>
      </w:r>
      <w:r>
        <w:rPr>
          <w:rFonts w:hint="eastAsia" w:ascii="仿宋" w:hAnsi="仿宋" w:eastAsia="仿宋"/>
          <w:sz w:val="32"/>
          <w:szCs w:val="32"/>
          <w:lang w:val="en-US" w:eastAsia="zh-CN"/>
        </w:rPr>
        <w:t>662.6</w:t>
      </w:r>
      <w:r>
        <w:rPr>
          <w:rFonts w:hint="eastAsia" w:ascii="仿宋" w:hAnsi="仿宋" w:eastAsia="仿宋"/>
          <w:sz w:val="32"/>
          <w:szCs w:val="32"/>
        </w:rPr>
        <w:t>万元，占总支出的</w:t>
      </w:r>
      <w:r>
        <w:rPr>
          <w:rFonts w:hint="eastAsia" w:ascii="仿宋" w:hAnsi="仿宋" w:eastAsia="仿宋"/>
          <w:sz w:val="32"/>
          <w:szCs w:val="32"/>
          <w:lang w:val="en-US" w:eastAsia="zh-CN"/>
        </w:rPr>
        <w:t>70.71</w:t>
      </w:r>
      <w:r>
        <w:rPr>
          <w:rFonts w:hint="eastAsia" w:ascii="仿宋" w:hAnsi="仿宋" w:eastAsia="仿宋"/>
          <w:sz w:val="32"/>
          <w:szCs w:val="32"/>
        </w:rPr>
        <w:t>%，其中人员经费支出</w:t>
      </w:r>
      <w:r>
        <w:rPr>
          <w:rFonts w:hint="eastAsia" w:ascii="仿宋" w:hAnsi="仿宋" w:eastAsia="仿宋"/>
          <w:sz w:val="32"/>
          <w:szCs w:val="32"/>
          <w:lang w:val="en-US" w:eastAsia="zh-CN"/>
        </w:rPr>
        <w:t>570.61</w:t>
      </w:r>
      <w:r>
        <w:rPr>
          <w:rFonts w:hint="eastAsia" w:ascii="仿宋" w:hAnsi="仿宋" w:eastAsia="仿宋"/>
          <w:sz w:val="32"/>
          <w:szCs w:val="32"/>
        </w:rPr>
        <w:t>万元，占总支出的</w:t>
      </w:r>
      <w:r>
        <w:rPr>
          <w:rFonts w:hint="eastAsia" w:ascii="仿宋" w:hAnsi="仿宋" w:eastAsia="仿宋"/>
          <w:sz w:val="32"/>
          <w:szCs w:val="32"/>
          <w:lang w:val="en-US" w:eastAsia="zh-CN"/>
        </w:rPr>
        <w:t>60.89</w:t>
      </w:r>
      <w:r>
        <w:rPr>
          <w:rFonts w:hint="eastAsia" w:ascii="仿宋" w:hAnsi="仿宋" w:eastAsia="仿宋"/>
          <w:sz w:val="32"/>
          <w:szCs w:val="32"/>
        </w:rPr>
        <w:t>%，公用经费支出</w:t>
      </w:r>
      <w:r>
        <w:rPr>
          <w:rFonts w:hint="eastAsia" w:ascii="仿宋" w:hAnsi="仿宋" w:eastAsia="仿宋"/>
          <w:sz w:val="32"/>
          <w:szCs w:val="32"/>
          <w:lang w:val="en-US" w:eastAsia="zh-CN"/>
        </w:rPr>
        <w:t>91.99</w:t>
      </w:r>
      <w:r>
        <w:rPr>
          <w:rFonts w:hint="eastAsia" w:ascii="仿宋" w:hAnsi="仿宋" w:eastAsia="仿宋"/>
          <w:sz w:val="32"/>
          <w:szCs w:val="32"/>
        </w:rPr>
        <w:t>万元，占总支出的</w:t>
      </w:r>
      <w:r>
        <w:rPr>
          <w:rFonts w:hint="eastAsia" w:ascii="仿宋" w:hAnsi="仿宋" w:eastAsia="仿宋"/>
          <w:sz w:val="32"/>
          <w:szCs w:val="32"/>
          <w:lang w:val="en-US" w:eastAsia="zh-CN"/>
        </w:rPr>
        <w:t>9.82</w:t>
      </w:r>
      <w:r>
        <w:rPr>
          <w:rFonts w:hint="eastAsia" w:ascii="仿宋" w:hAnsi="仿宋" w:eastAsia="仿宋"/>
          <w:sz w:val="32"/>
          <w:szCs w:val="32"/>
        </w:rPr>
        <w:t>%。</w:t>
      </w:r>
    </w:p>
    <w:p w14:paraId="1D1EDCF4">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（三）部门整体支出绩效目标、指标</w:t>
      </w:r>
    </w:p>
    <w:p w14:paraId="3D908444">
      <w:pPr>
        <w:ind w:firstLine="643" w:firstLineChars="200"/>
        <w:rPr>
          <w:rFonts w:hint="eastAsia" w:ascii="仿宋" w:hAnsi="仿宋" w:eastAsia="仿宋"/>
          <w:b/>
          <w:bCs/>
          <w:sz w:val="32"/>
          <w:szCs w:val="32"/>
        </w:rPr>
      </w:pPr>
      <w:r>
        <w:rPr>
          <w:rFonts w:hint="eastAsia" w:ascii="仿宋" w:hAnsi="仿宋" w:eastAsia="仿宋"/>
          <w:b/>
          <w:bCs/>
          <w:sz w:val="32"/>
          <w:szCs w:val="32"/>
          <w:lang w:val="en-US" w:eastAsia="zh-CN"/>
        </w:rPr>
        <w:t>1、</w:t>
      </w:r>
      <w:r>
        <w:rPr>
          <w:rFonts w:hint="eastAsia" w:ascii="仿宋" w:hAnsi="仿宋" w:eastAsia="仿宋"/>
          <w:b/>
          <w:bCs/>
          <w:sz w:val="32"/>
          <w:szCs w:val="32"/>
        </w:rPr>
        <w:t>总体绩效目标</w:t>
      </w:r>
    </w:p>
    <w:p w14:paraId="42C4D02D">
      <w:pPr>
        <w:ind w:firstLine="640" w:firstLineChars="200"/>
        <w:rPr>
          <w:rFonts w:hint="eastAsia" w:ascii="仿宋" w:hAnsi="仿宋" w:eastAsia="仿宋"/>
          <w:sz w:val="32"/>
          <w:szCs w:val="32"/>
        </w:rPr>
      </w:pPr>
      <w:r>
        <w:rPr>
          <w:rFonts w:hint="eastAsia" w:ascii="仿宋" w:hAnsi="仿宋" w:eastAsia="仿宋"/>
          <w:sz w:val="32"/>
          <w:szCs w:val="32"/>
        </w:rPr>
        <w:t>2025年我部</w:t>
      </w:r>
      <w:r>
        <w:rPr>
          <w:rFonts w:hint="eastAsia" w:ascii="仿宋" w:hAnsi="仿宋" w:eastAsia="仿宋"/>
          <w:sz w:val="32"/>
          <w:szCs w:val="32"/>
          <w:lang w:val="en-US" w:eastAsia="zh-CN"/>
        </w:rPr>
        <w:t>门</w:t>
      </w:r>
      <w:r>
        <w:rPr>
          <w:rFonts w:hint="eastAsia" w:ascii="仿宋" w:hAnsi="仿宋" w:eastAsia="仿宋"/>
          <w:sz w:val="32"/>
          <w:szCs w:val="32"/>
        </w:rPr>
        <w:t>将坚持以习近平新时代中国特色社会主义思想为指导，深入学习贯彻党的二十大精神，坚持以人民为中心的发展思想，以高度的政治自觉、法治自觉、检察自觉，认真履行法律监督职责，全面提升检察工作水平，为服务全县经济社会高质量发展提供有力司法保障。</w:t>
      </w:r>
    </w:p>
    <w:p w14:paraId="62FCB2F5">
      <w:pPr>
        <w:ind w:firstLine="643" w:firstLineChars="200"/>
        <w:rPr>
          <w:rFonts w:hint="eastAsia" w:ascii="仿宋" w:hAnsi="仿宋" w:eastAsia="仿宋"/>
          <w:b/>
          <w:bCs/>
          <w:sz w:val="32"/>
          <w:szCs w:val="32"/>
        </w:rPr>
      </w:pPr>
      <w:r>
        <w:rPr>
          <w:rFonts w:hint="eastAsia" w:ascii="仿宋" w:hAnsi="仿宋" w:eastAsia="仿宋"/>
          <w:b/>
          <w:bCs/>
          <w:sz w:val="32"/>
          <w:szCs w:val="32"/>
          <w:lang w:val="en-US" w:eastAsia="zh-CN"/>
        </w:rPr>
        <w:t>2、</w:t>
      </w:r>
      <w:r>
        <w:rPr>
          <w:rFonts w:hint="eastAsia" w:ascii="仿宋" w:hAnsi="仿宋" w:eastAsia="仿宋"/>
          <w:b/>
          <w:bCs/>
          <w:sz w:val="32"/>
          <w:szCs w:val="32"/>
        </w:rPr>
        <w:t>分项绩效目标</w:t>
      </w:r>
    </w:p>
    <w:p w14:paraId="6B4880C0">
      <w:pPr>
        <w:ind w:firstLine="640" w:firstLineChars="200"/>
        <w:rPr>
          <w:rFonts w:hint="eastAsia" w:ascii="仿宋" w:hAnsi="仿宋" w:eastAsia="仿宋"/>
          <w:sz w:val="32"/>
          <w:szCs w:val="32"/>
        </w:rPr>
      </w:pPr>
      <w:r>
        <w:rPr>
          <w:rFonts w:hint="eastAsia" w:ascii="仿宋" w:hAnsi="仿宋" w:eastAsia="仿宋"/>
          <w:sz w:val="32"/>
          <w:szCs w:val="32"/>
          <w:lang w:val="en-US" w:eastAsia="zh-CN"/>
        </w:rPr>
        <w:t>（1）</w:t>
      </w:r>
      <w:r>
        <w:rPr>
          <w:rFonts w:hint="eastAsia" w:ascii="仿宋" w:hAnsi="仿宋" w:eastAsia="仿宋"/>
          <w:sz w:val="32"/>
          <w:szCs w:val="32"/>
        </w:rPr>
        <w:t>侦查监督</w:t>
      </w:r>
    </w:p>
    <w:p w14:paraId="27816618">
      <w:pPr>
        <w:ind w:firstLine="640" w:firstLineChars="200"/>
        <w:rPr>
          <w:rFonts w:hint="eastAsia" w:ascii="仿宋" w:hAnsi="仿宋" w:eastAsia="仿宋"/>
          <w:sz w:val="32"/>
          <w:szCs w:val="32"/>
        </w:rPr>
      </w:pPr>
      <w:r>
        <w:rPr>
          <w:rFonts w:hint="eastAsia" w:ascii="仿宋" w:hAnsi="仿宋" w:eastAsia="仿宋"/>
          <w:sz w:val="32"/>
          <w:szCs w:val="32"/>
        </w:rPr>
        <w:t>绩效目标：通过行使检察权，对刑事案件进行审查逮捕、立案监督，对侦查活动进行监督。从而打击犯罪、保障人权、维护司法公正。</w:t>
      </w:r>
    </w:p>
    <w:p w14:paraId="104FF088">
      <w:pPr>
        <w:ind w:firstLine="640" w:firstLineChars="200"/>
        <w:rPr>
          <w:rFonts w:hint="eastAsia" w:ascii="仿宋" w:hAnsi="仿宋" w:eastAsia="仿宋"/>
          <w:sz w:val="32"/>
          <w:szCs w:val="32"/>
        </w:rPr>
      </w:pPr>
      <w:r>
        <w:rPr>
          <w:rFonts w:hint="eastAsia" w:ascii="仿宋" w:hAnsi="仿宋" w:eastAsia="仿宋"/>
          <w:sz w:val="32"/>
          <w:szCs w:val="32"/>
        </w:rPr>
        <w:t>绩效指标：错捕、捕后撤案、不起诉、判无罪率低于1%；批延准确率达到100%；立案和侦查活动监督完成率达到100%。</w:t>
      </w:r>
    </w:p>
    <w:p w14:paraId="71A6EF14">
      <w:pPr>
        <w:ind w:firstLine="640" w:firstLineChars="200"/>
        <w:rPr>
          <w:rFonts w:hint="eastAsia" w:ascii="仿宋" w:hAnsi="仿宋" w:eastAsia="仿宋"/>
          <w:sz w:val="32"/>
          <w:szCs w:val="32"/>
        </w:rPr>
      </w:pPr>
      <w:r>
        <w:rPr>
          <w:rFonts w:hint="eastAsia" w:ascii="仿宋" w:hAnsi="仿宋" w:eastAsia="仿宋"/>
          <w:sz w:val="32"/>
          <w:szCs w:val="32"/>
          <w:lang w:val="en-US" w:eastAsia="zh-CN"/>
        </w:rPr>
        <w:t>（2）</w:t>
      </w:r>
      <w:r>
        <w:rPr>
          <w:rFonts w:hint="eastAsia" w:ascii="仿宋" w:hAnsi="仿宋" w:eastAsia="仿宋"/>
          <w:sz w:val="32"/>
          <w:szCs w:val="32"/>
        </w:rPr>
        <w:t>公诉和审判监督</w:t>
      </w:r>
    </w:p>
    <w:p w14:paraId="1365F019">
      <w:pPr>
        <w:ind w:firstLine="640" w:firstLineChars="200"/>
        <w:rPr>
          <w:rFonts w:hint="eastAsia" w:ascii="仿宋" w:hAnsi="仿宋" w:eastAsia="仿宋"/>
          <w:sz w:val="32"/>
          <w:szCs w:val="32"/>
        </w:rPr>
      </w:pPr>
      <w:r>
        <w:rPr>
          <w:rFonts w:hint="eastAsia" w:ascii="仿宋" w:hAnsi="仿宋" w:eastAsia="仿宋"/>
          <w:sz w:val="32"/>
          <w:szCs w:val="32"/>
        </w:rPr>
        <w:t>绩效目标：审查起诉出庭支持公诉，全面审查案件事实，核实证据，依法提出审查意见，打击犯罪，保障人权，维护司法公正。</w:t>
      </w:r>
    </w:p>
    <w:p w14:paraId="333CBBDE">
      <w:pPr>
        <w:ind w:firstLine="640" w:firstLineChars="200"/>
        <w:rPr>
          <w:rFonts w:hint="eastAsia" w:ascii="仿宋" w:hAnsi="仿宋" w:eastAsia="仿宋"/>
          <w:sz w:val="32"/>
          <w:szCs w:val="32"/>
        </w:rPr>
      </w:pPr>
      <w:r>
        <w:rPr>
          <w:rFonts w:hint="eastAsia" w:ascii="仿宋" w:hAnsi="仿宋" w:eastAsia="仿宋"/>
          <w:sz w:val="32"/>
          <w:szCs w:val="32"/>
        </w:rPr>
        <w:t>绩效指标：办理案件数量不低于上年，出庭意见法院采纳率达到80%以上，诉讼期限内审结案件占全部案件比例达到95%以上。</w:t>
      </w:r>
    </w:p>
    <w:p w14:paraId="0D1F9D47">
      <w:pPr>
        <w:ind w:firstLine="640" w:firstLineChars="200"/>
        <w:rPr>
          <w:rFonts w:hint="eastAsia" w:ascii="仿宋" w:hAnsi="仿宋" w:eastAsia="仿宋"/>
          <w:sz w:val="32"/>
          <w:szCs w:val="32"/>
        </w:rPr>
      </w:pPr>
      <w:r>
        <w:rPr>
          <w:rFonts w:hint="eastAsia" w:ascii="仿宋" w:hAnsi="仿宋" w:eastAsia="仿宋"/>
          <w:sz w:val="32"/>
          <w:szCs w:val="32"/>
          <w:lang w:val="en-US" w:eastAsia="zh-CN"/>
        </w:rPr>
        <w:t>（3）</w:t>
      </w:r>
      <w:r>
        <w:rPr>
          <w:rFonts w:hint="eastAsia" w:ascii="仿宋" w:hAnsi="仿宋" w:eastAsia="仿宋"/>
          <w:sz w:val="32"/>
          <w:szCs w:val="32"/>
        </w:rPr>
        <w:t>民事行政诉讼监督</w:t>
      </w:r>
    </w:p>
    <w:p w14:paraId="2A737FBB">
      <w:pPr>
        <w:ind w:firstLine="640" w:firstLineChars="200"/>
        <w:rPr>
          <w:rFonts w:hint="eastAsia" w:ascii="仿宋" w:hAnsi="仿宋" w:eastAsia="仿宋"/>
          <w:sz w:val="32"/>
          <w:szCs w:val="32"/>
        </w:rPr>
      </w:pPr>
      <w:r>
        <w:rPr>
          <w:rFonts w:hint="eastAsia" w:ascii="仿宋" w:hAnsi="仿宋" w:eastAsia="仿宋"/>
          <w:sz w:val="32"/>
          <w:szCs w:val="32"/>
        </w:rPr>
        <w:t>绩效目标：依法对民事诉讼和行政诉讼实行法律监督，维护司法公正和司法权威。</w:t>
      </w:r>
    </w:p>
    <w:p w14:paraId="4A78CAE3">
      <w:pPr>
        <w:ind w:firstLine="640" w:firstLineChars="200"/>
        <w:rPr>
          <w:rFonts w:hint="eastAsia" w:ascii="仿宋" w:hAnsi="仿宋" w:eastAsia="仿宋"/>
          <w:sz w:val="32"/>
          <w:szCs w:val="32"/>
        </w:rPr>
      </w:pPr>
      <w:r>
        <w:rPr>
          <w:rFonts w:hint="eastAsia" w:ascii="仿宋" w:hAnsi="仿宋" w:eastAsia="仿宋"/>
          <w:sz w:val="32"/>
          <w:szCs w:val="32"/>
        </w:rPr>
        <w:t>绩效指标：民事案件撤诉案件再审改变率不低于70%；当事人对民行行政申请监督案件满意度达到80%；不支持监督申请决定息诉息访率不低于50%，检察建议采纳率达到80%。</w:t>
      </w:r>
    </w:p>
    <w:p w14:paraId="2F83AAEB">
      <w:pPr>
        <w:ind w:firstLine="640" w:firstLineChars="200"/>
        <w:rPr>
          <w:rFonts w:hint="eastAsia" w:ascii="仿宋" w:hAnsi="仿宋" w:eastAsia="仿宋"/>
          <w:sz w:val="32"/>
          <w:szCs w:val="32"/>
        </w:rPr>
      </w:pPr>
      <w:r>
        <w:rPr>
          <w:rFonts w:hint="eastAsia" w:ascii="仿宋" w:hAnsi="仿宋" w:eastAsia="仿宋"/>
          <w:sz w:val="32"/>
          <w:szCs w:val="32"/>
          <w:lang w:val="en-US" w:eastAsia="zh-CN"/>
        </w:rPr>
        <w:t>（4）</w:t>
      </w:r>
      <w:r>
        <w:rPr>
          <w:rFonts w:hint="eastAsia" w:ascii="仿宋" w:hAnsi="仿宋" w:eastAsia="仿宋"/>
          <w:sz w:val="32"/>
          <w:szCs w:val="32"/>
        </w:rPr>
        <w:t>刑事执行检察</w:t>
      </w:r>
    </w:p>
    <w:p w14:paraId="3B0BDBE8">
      <w:pPr>
        <w:ind w:firstLine="640" w:firstLineChars="200"/>
        <w:rPr>
          <w:rFonts w:hint="eastAsia" w:ascii="仿宋" w:hAnsi="仿宋" w:eastAsia="仿宋"/>
          <w:sz w:val="32"/>
          <w:szCs w:val="32"/>
        </w:rPr>
      </w:pPr>
      <w:r>
        <w:rPr>
          <w:rFonts w:hint="eastAsia" w:ascii="仿宋" w:hAnsi="仿宋" w:eastAsia="仿宋"/>
          <w:sz w:val="32"/>
          <w:szCs w:val="32"/>
        </w:rPr>
        <w:t>绩效目标：依法对看守所、社区矫正等执法活动是否合法实行法律监督，维护刑事执行公平公正，维护刑事执行场所监管秩序稳定、维护刑事被执行人合法权益、维护社会和谐稳定，保障国家法律、法规统一正确实施。</w:t>
      </w:r>
    </w:p>
    <w:p w14:paraId="372FBC99">
      <w:pPr>
        <w:ind w:firstLine="640" w:firstLineChars="200"/>
        <w:rPr>
          <w:rFonts w:hint="eastAsia" w:ascii="仿宋" w:hAnsi="仿宋" w:eastAsia="仿宋"/>
          <w:sz w:val="32"/>
          <w:szCs w:val="32"/>
        </w:rPr>
      </w:pPr>
      <w:r>
        <w:rPr>
          <w:rFonts w:hint="eastAsia" w:ascii="仿宋" w:hAnsi="仿宋" w:eastAsia="仿宋"/>
          <w:sz w:val="32"/>
          <w:szCs w:val="32"/>
        </w:rPr>
        <w:t>绩效指标：监督行为及相关当事人、办案机关、社会各界对监督行为及效果的满意度达到95%以上；纠正意见或者建议的采纳率达到90%以上。</w:t>
      </w:r>
    </w:p>
    <w:p w14:paraId="615543E4">
      <w:pPr>
        <w:ind w:firstLine="640" w:firstLineChars="200"/>
        <w:rPr>
          <w:rFonts w:hint="eastAsia" w:ascii="仿宋" w:hAnsi="仿宋" w:eastAsia="仿宋"/>
          <w:sz w:val="32"/>
          <w:szCs w:val="32"/>
        </w:rPr>
      </w:pPr>
      <w:r>
        <w:rPr>
          <w:rFonts w:hint="eastAsia" w:ascii="仿宋" w:hAnsi="仿宋" w:eastAsia="仿宋"/>
          <w:sz w:val="32"/>
          <w:szCs w:val="32"/>
          <w:lang w:val="en-US" w:eastAsia="zh-CN"/>
        </w:rPr>
        <w:t>（5）</w:t>
      </w:r>
      <w:r>
        <w:rPr>
          <w:rFonts w:hint="eastAsia" w:ascii="仿宋" w:hAnsi="仿宋" w:eastAsia="仿宋"/>
          <w:sz w:val="32"/>
          <w:szCs w:val="32"/>
        </w:rPr>
        <w:t>未成年人刑事检察</w:t>
      </w:r>
    </w:p>
    <w:p w14:paraId="42E09003">
      <w:pPr>
        <w:ind w:firstLine="640" w:firstLineChars="200"/>
        <w:rPr>
          <w:rFonts w:hint="eastAsia" w:ascii="仿宋" w:hAnsi="仿宋" w:eastAsia="仿宋"/>
          <w:sz w:val="32"/>
          <w:szCs w:val="32"/>
        </w:rPr>
      </w:pPr>
      <w:r>
        <w:rPr>
          <w:rFonts w:hint="eastAsia" w:ascii="仿宋" w:hAnsi="仿宋" w:eastAsia="仿宋"/>
          <w:sz w:val="32"/>
          <w:szCs w:val="32"/>
        </w:rPr>
        <w:t>绩效目标：保障未成年人的合法权益，减少未成年人刑事案件发案数，为未成年人健康成长提供法治保障。</w:t>
      </w:r>
    </w:p>
    <w:p w14:paraId="710D0983">
      <w:pPr>
        <w:ind w:firstLine="640" w:firstLineChars="200"/>
        <w:rPr>
          <w:rFonts w:hint="eastAsia" w:ascii="仿宋" w:hAnsi="仿宋" w:eastAsia="仿宋"/>
          <w:sz w:val="32"/>
          <w:szCs w:val="32"/>
        </w:rPr>
      </w:pPr>
      <w:r>
        <w:rPr>
          <w:rFonts w:hint="eastAsia" w:ascii="仿宋" w:hAnsi="仿宋" w:eastAsia="仿宋"/>
          <w:sz w:val="32"/>
          <w:szCs w:val="32"/>
        </w:rPr>
        <w:t>绩效指标：针对辖区中小学每月至少开展一次法律讲课，提高未成年人法律意识和自我保护能力。未成年人刑事案件指导率达到80%以上；未成年人刑事案件办理达到受理案件的90%，附条件不起诉案件占受理未成年刑事案件数高于25%，案件办结率达到全年受理案件的80%。涉案未成年人实施心理疏导、亲情会见、庭审教育、不起诉宣布教育、案后帮扶等特殊检察制度占全部受理案件的比例不低于70%，不捕率高于35%、不诉率高于25%。</w:t>
      </w:r>
    </w:p>
    <w:p w14:paraId="76B5DBBE">
      <w:pPr>
        <w:ind w:firstLine="640" w:firstLineChars="200"/>
        <w:rPr>
          <w:rFonts w:hint="eastAsia" w:ascii="仿宋" w:hAnsi="仿宋" w:eastAsia="仿宋"/>
          <w:sz w:val="32"/>
          <w:szCs w:val="32"/>
        </w:rPr>
      </w:pPr>
      <w:r>
        <w:rPr>
          <w:rFonts w:hint="eastAsia" w:ascii="仿宋" w:hAnsi="仿宋" w:eastAsia="仿宋"/>
          <w:sz w:val="32"/>
          <w:szCs w:val="32"/>
          <w:lang w:val="en-US" w:eastAsia="zh-CN"/>
        </w:rPr>
        <w:t>（6）</w:t>
      </w:r>
      <w:r>
        <w:rPr>
          <w:rFonts w:hint="eastAsia" w:ascii="仿宋" w:hAnsi="仿宋" w:eastAsia="仿宋"/>
          <w:sz w:val="32"/>
          <w:szCs w:val="32"/>
        </w:rPr>
        <w:t>司法辅助</w:t>
      </w:r>
    </w:p>
    <w:p w14:paraId="5AF91558">
      <w:pPr>
        <w:ind w:firstLine="640" w:firstLineChars="200"/>
        <w:rPr>
          <w:rFonts w:hint="eastAsia" w:ascii="仿宋" w:hAnsi="仿宋" w:eastAsia="仿宋"/>
          <w:sz w:val="32"/>
          <w:szCs w:val="32"/>
        </w:rPr>
      </w:pPr>
      <w:r>
        <w:rPr>
          <w:rFonts w:hint="eastAsia" w:ascii="仿宋" w:hAnsi="仿宋" w:eastAsia="仿宋"/>
          <w:sz w:val="32"/>
          <w:szCs w:val="32"/>
        </w:rPr>
        <w:t>绩效目标：加强各项检察辅助职能，为“四大检察”业务提供有力保障。</w:t>
      </w:r>
    </w:p>
    <w:p w14:paraId="7C73B8BE">
      <w:pPr>
        <w:ind w:firstLine="640" w:firstLineChars="200"/>
        <w:rPr>
          <w:rFonts w:hint="eastAsia" w:ascii="仿宋" w:hAnsi="仿宋" w:eastAsia="仿宋"/>
          <w:sz w:val="32"/>
          <w:szCs w:val="32"/>
        </w:rPr>
      </w:pPr>
      <w:r>
        <w:rPr>
          <w:rFonts w:hint="eastAsia" w:ascii="仿宋" w:hAnsi="仿宋" w:eastAsia="仿宋"/>
          <w:sz w:val="32"/>
          <w:szCs w:val="32"/>
        </w:rPr>
        <w:t>绩效指标：工作任务完成率不低于95%</w:t>
      </w:r>
    </w:p>
    <w:p w14:paraId="205AD19D">
      <w:pPr>
        <w:ind w:firstLine="640" w:firstLineChars="200"/>
        <w:rPr>
          <w:rFonts w:hint="eastAsia" w:ascii="仿宋" w:hAnsi="仿宋" w:eastAsia="仿宋"/>
          <w:sz w:val="32"/>
          <w:szCs w:val="32"/>
        </w:rPr>
      </w:pPr>
      <w:r>
        <w:rPr>
          <w:rFonts w:hint="eastAsia" w:ascii="仿宋" w:hAnsi="仿宋" w:eastAsia="仿宋"/>
          <w:sz w:val="32"/>
          <w:szCs w:val="32"/>
          <w:lang w:val="en-US" w:eastAsia="zh-CN"/>
        </w:rPr>
        <w:t>（7）</w:t>
      </w:r>
      <w:r>
        <w:rPr>
          <w:rFonts w:hint="eastAsia" w:ascii="仿宋" w:hAnsi="仿宋" w:eastAsia="仿宋"/>
          <w:sz w:val="32"/>
          <w:szCs w:val="32"/>
        </w:rPr>
        <w:t>检察公益诉讼</w:t>
      </w:r>
    </w:p>
    <w:p w14:paraId="38465FE4">
      <w:pPr>
        <w:ind w:firstLine="640" w:firstLineChars="200"/>
        <w:rPr>
          <w:rFonts w:hint="eastAsia" w:ascii="仿宋" w:hAnsi="仿宋" w:eastAsia="仿宋"/>
          <w:sz w:val="32"/>
          <w:szCs w:val="32"/>
        </w:rPr>
      </w:pPr>
      <w:r>
        <w:rPr>
          <w:rFonts w:hint="eastAsia" w:ascii="仿宋" w:hAnsi="仿宋" w:eastAsia="仿宋"/>
          <w:sz w:val="32"/>
          <w:szCs w:val="32"/>
        </w:rPr>
        <w:t>绩效目标：办理破坏生态环境和资源保护、食品药品安全领域侵害众多消费者合法权益等损害社会公共利益的民事公益诉讼案件，充分发挥检察机关法律监督职能作用，促进依法行政、严格执法，维护宪法法律权威，维护社会公平正义，维护国家和社会公共利益。</w:t>
      </w:r>
    </w:p>
    <w:p w14:paraId="034087AA">
      <w:pPr>
        <w:ind w:firstLine="640" w:firstLineChars="200"/>
        <w:rPr>
          <w:rFonts w:hint="eastAsia" w:ascii="仿宋" w:hAnsi="仿宋" w:eastAsia="仿宋"/>
          <w:sz w:val="32"/>
          <w:szCs w:val="32"/>
        </w:rPr>
      </w:pPr>
      <w:r>
        <w:rPr>
          <w:rFonts w:hint="eastAsia" w:ascii="仿宋" w:hAnsi="仿宋" w:eastAsia="仿宋"/>
          <w:sz w:val="32"/>
          <w:szCs w:val="32"/>
        </w:rPr>
        <w:t>绩效指标：开展检察公益诉讼法律宣传次数不低于4次；2024年立案数不低于上年立案数；检察建议采纳率不低于90%。</w:t>
      </w:r>
    </w:p>
    <w:p w14:paraId="237E483C">
      <w:pPr>
        <w:ind w:firstLine="640" w:firstLineChars="200"/>
        <w:rPr>
          <w:rFonts w:hint="eastAsia" w:ascii="仿宋" w:hAnsi="仿宋" w:eastAsia="仿宋"/>
          <w:sz w:val="32"/>
          <w:szCs w:val="32"/>
        </w:rPr>
      </w:pPr>
      <w:r>
        <w:rPr>
          <w:rFonts w:hint="eastAsia" w:ascii="仿宋" w:hAnsi="仿宋" w:eastAsia="仿宋"/>
          <w:sz w:val="32"/>
          <w:szCs w:val="32"/>
          <w:lang w:val="en-US" w:eastAsia="zh-CN"/>
        </w:rPr>
        <w:t>（8）</w:t>
      </w:r>
      <w:r>
        <w:rPr>
          <w:rFonts w:hint="eastAsia" w:ascii="仿宋" w:hAnsi="仿宋" w:eastAsia="仿宋"/>
          <w:sz w:val="32"/>
          <w:szCs w:val="32"/>
        </w:rPr>
        <w:t>控告和刑事申诉检察</w:t>
      </w:r>
    </w:p>
    <w:p w14:paraId="4EA4EFDF">
      <w:pPr>
        <w:ind w:firstLine="640" w:firstLineChars="200"/>
        <w:rPr>
          <w:rFonts w:hint="eastAsia" w:ascii="仿宋" w:hAnsi="仿宋" w:eastAsia="仿宋"/>
          <w:sz w:val="32"/>
          <w:szCs w:val="32"/>
        </w:rPr>
      </w:pPr>
      <w:r>
        <w:rPr>
          <w:rFonts w:hint="eastAsia" w:ascii="仿宋" w:hAnsi="仿宋" w:eastAsia="仿宋"/>
          <w:sz w:val="32"/>
          <w:szCs w:val="32"/>
        </w:rPr>
        <w:t>绩效目标：办理县院管辖的信访、举报案件、国家赔偿、司法救助案件以及上级机关交办、转办、督办案件。保护公民、法人和其他单位的合法权益，促进司法公正，维护社会稳定。</w:t>
      </w:r>
    </w:p>
    <w:p w14:paraId="257DB740">
      <w:pPr>
        <w:ind w:firstLine="640" w:firstLineChars="200"/>
        <w:rPr>
          <w:rFonts w:hint="eastAsia" w:ascii="仿宋" w:hAnsi="仿宋" w:eastAsia="仿宋"/>
          <w:sz w:val="32"/>
          <w:szCs w:val="32"/>
        </w:rPr>
      </w:pPr>
      <w:r>
        <w:rPr>
          <w:rFonts w:hint="eastAsia" w:ascii="仿宋" w:hAnsi="仿宋" w:eastAsia="仿宋"/>
          <w:sz w:val="32"/>
          <w:szCs w:val="32"/>
        </w:rPr>
        <w:t>绩效指标：举报线索处置率达到100%；司法救助案件数不低于上年数；有效化解涉检信访矛盾率达到100%；涉检赔偿和刑事申诉案件错案率低于5%；法定期限内办结率达到100%；举报线索移送立案率不低于50%。</w:t>
      </w:r>
    </w:p>
    <w:p w14:paraId="5A2FE236">
      <w:pPr>
        <w:ind w:firstLine="640" w:firstLineChars="200"/>
        <w:rPr>
          <w:rFonts w:hint="eastAsia" w:ascii="仿宋" w:hAnsi="仿宋" w:eastAsia="仿宋"/>
          <w:sz w:val="32"/>
          <w:szCs w:val="32"/>
        </w:rPr>
      </w:pPr>
      <w:r>
        <w:rPr>
          <w:rFonts w:hint="eastAsia" w:ascii="仿宋" w:hAnsi="仿宋" w:eastAsia="仿宋"/>
          <w:sz w:val="32"/>
          <w:szCs w:val="32"/>
          <w:lang w:val="en-US" w:eastAsia="zh-CN"/>
        </w:rPr>
        <w:t>（9）</w:t>
      </w:r>
      <w:r>
        <w:rPr>
          <w:rFonts w:hint="eastAsia" w:ascii="仿宋" w:hAnsi="仿宋" w:eastAsia="仿宋"/>
          <w:sz w:val="32"/>
          <w:szCs w:val="32"/>
        </w:rPr>
        <w:t>检察事务管理</w:t>
      </w:r>
    </w:p>
    <w:p w14:paraId="7813CCA2">
      <w:pPr>
        <w:ind w:firstLine="640" w:firstLineChars="200"/>
        <w:rPr>
          <w:rFonts w:hint="eastAsia" w:ascii="仿宋" w:hAnsi="仿宋" w:eastAsia="仿宋"/>
          <w:sz w:val="32"/>
          <w:szCs w:val="32"/>
        </w:rPr>
      </w:pPr>
      <w:r>
        <w:rPr>
          <w:rFonts w:hint="eastAsia" w:ascii="仿宋" w:hAnsi="仿宋" w:eastAsia="仿宋"/>
          <w:sz w:val="32"/>
          <w:szCs w:val="32"/>
        </w:rPr>
        <w:t>绩效目标：承担综合业务管理和综合事务管理工作，为检察工作顺利开展提供保障。</w:t>
      </w:r>
    </w:p>
    <w:p w14:paraId="0C82F712">
      <w:pPr>
        <w:ind w:firstLine="640" w:firstLineChars="200"/>
      </w:pPr>
      <w:r>
        <w:rPr>
          <w:rFonts w:hint="eastAsia" w:ascii="仿宋" w:hAnsi="仿宋" w:eastAsia="仿宋"/>
          <w:sz w:val="32"/>
          <w:szCs w:val="32"/>
        </w:rPr>
        <w:t>绩效指标：各项工作任务指标完成率达到95%以上，检察干警对保障工作满意度达到95%以</w:t>
      </w:r>
      <w:r>
        <w:rPr>
          <w:rFonts w:hint="eastAsia" w:ascii="仿宋" w:hAnsi="仿宋" w:eastAsia="仿宋"/>
          <w:sz w:val="32"/>
          <w:szCs w:val="32"/>
          <w:lang w:val="en-US" w:eastAsia="zh-CN"/>
        </w:rPr>
        <w:t>上</w:t>
      </w:r>
      <w:r>
        <w:t>。</w:t>
      </w:r>
    </w:p>
    <w:p w14:paraId="2F4A2F6A">
      <w:pPr>
        <w:ind w:firstLine="640" w:firstLineChars="200"/>
        <w:rPr>
          <w:rFonts w:ascii="黑体" w:hAnsi="黑体" w:eastAsia="黑体"/>
          <w:sz w:val="32"/>
          <w:szCs w:val="32"/>
        </w:rPr>
      </w:pPr>
      <w:r>
        <w:rPr>
          <w:rFonts w:hint="eastAsia" w:ascii="黑体" w:hAnsi="黑体" w:eastAsia="黑体"/>
          <w:sz w:val="32"/>
          <w:szCs w:val="32"/>
        </w:rPr>
        <w:t>二、自评工作开展情况</w:t>
      </w:r>
    </w:p>
    <w:p w14:paraId="56753A30">
      <w:pPr>
        <w:spacing w:line="560" w:lineRule="exact"/>
        <w:ind w:firstLine="640" w:firstLineChars="200"/>
        <w:rPr>
          <w:rFonts w:ascii="楷体" w:hAnsi="楷体" w:eastAsia="楷体" w:cs="楷体_GB2312"/>
          <w:sz w:val="32"/>
          <w:szCs w:val="32"/>
        </w:rPr>
      </w:pPr>
      <w:r>
        <w:rPr>
          <w:rFonts w:hint="eastAsia" w:ascii="楷体" w:hAnsi="楷体" w:eastAsia="楷体" w:cs="楷体_GB2312"/>
          <w:bCs/>
          <w:sz w:val="32"/>
          <w:szCs w:val="32"/>
        </w:rPr>
        <w:t>（一）自评的组织工作</w:t>
      </w:r>
    </w:p>
    <w:p w14:paraId="67676BAC">
      <w:pPr>
        <w:spacing w:line="560" w:lineRule="exact"/>
        <w:ind w:firstLine="640"/>
        <w:rPr>
          <w:rFonts w:ascii="仿宋" w:hAnsi="仿宋" w:eastAsia="仿宋" w:cs="楷体_GB2312"/>
          <w:sz w:val="32"/>
          <w:szCs w:val="32"/>
        </w:rPr>
      </w:pPr>
      <w:r>
        <w:rPr>
          <w:rFonts w:hint="eastAsia" w:ascii="仿宋" w:hAnsi="仿宋" w:eastAsia="仿宋" w:cs="楷体_GB2312"/>
          <w:sz w:val="32"/>
          <w:szCs w:val="32"/>
        </w:rPr>
        <w:t>根据《石家庄市财政局关于开展202</w:t>
      </w:r>
      <w:r>
        <w:rPr>
          <w:rFonts w:hint="eastAsia" w:ascii="仿宋" w:hAnsi="仿宋" w:eastAsia="仿宋" w:cs="楷体_GB2312"/>
          <w:sz w:val="32"/>
          <w:szCs w:val="32"/>
          <w:lang w:val="en-US" w:eastAsia="zh-CN"/>
        </w:rPr>
        <w:t>6</w:t>
      </w:r>
      <w:r>
        <w:rPr>
          <w:rFonts w:hint="eastAsia" w:ascii="仿宋" w:hAnsi="仿宋" w:eastAsia="仿宋" w:cs="楷体_GB2312"/>
          <w:sz w:val="32"/>
          <w:szCs w:val="32"/>
        </w:rPr>
        <w:t>年绩效自评工作的通知》要求，我院开展预算项目整体支出绩效自评，查看202</w:t>
      </w:r>
      <w:r>
        <w:rPr>
          <w:rFonts w:hint="eastAsia" w:ascii="仿宋" w:hAnsi="仿宋" w:eastAsia="仿宋" w:cs="楷体_GB2312"/>
          <w:sz w:val="32"/>
          <w:szCs w:val="32"/>
          <w:lang w:val="en-US" w:eastAsia="zh-CN"/>
        </w:rPr>
        <w:t>5</w:t>
      </w:r>
      <w:r>
        <w:rPr>
          <w:rFonts w:hint="eastAsia" w:ascii="仿宋" w:hAnsi="仿宋" w:eastAsia="仿宋" w:cs="楷体_GB2312"/>
          <w:sz w:val="32"/>
          <w:szCs w:val="32"/>
        </w:rPr>
        <w:t>年度部门预算绩效文本绩效目标及指标，认真对比预决算的调整及执行情况，根据对数据的收集、资料进行核对、比较、计算，对单位整体支出进行评分。</w:t>
      </w:r>
    </w:p>
    <w:p w14:paraId="639806CB">
      <w:pPr>
        <w:spacing w:line="560" w:lineRule="exact"/>
        <w:ind w:left="642"/>
        <w:rPr>
          <w:rFonts w:ascii="楷体" w:hAnsi="楷体" w:eastAsia="楷体" w:cs="楷体_GB2312"/>
          <w:bCs/>
          <w:sz w:val="32"/>
          <w:szCs w:val="32"/>
        </w:rPr>
      </w:pPr>
      <w:r>
        <w:rPr>
          <w:rFonts w:hint="eastAsia" w:ascii="楷体" w:hAnsi="楷体" w:eastAsia="楷体" w:cs="楷体_GB2312"/>
          <w:bCs/>
          <w:sz w:val="32"/>
          <w:szCs w:val="32"/>
        </w:rPr>
        <w:t>（二）自评的方法和过程</w:t>
      </w:r>
    </w:p>
    <w:p w14:paraId="0E07E3A9">
      <w:pPr>
        <w:snapToGrid w:val="0"/>
        <w:spacing w:line="560" w:lineRule="exact"/>
        <w:ind w:firstLine="643" w:firstLineChars="200"/>
        <w:rPr>
          <w:rFonts w:ascii="仿宋" w:hAnsi="仿宋" w:eastAsia="仿宋" w:cs="楷体_GB2312"/>
          <w:b/>
          <w:bCs/>
          <w:sz w:val="32"/>
          <w:szCs w:val="32"/>
        </w:rPr>
      </w:pPr>
      <w:r>
        <w:rPr>
          <w:rFonts w:hint="eastAsia" w:ascii="仿宋" w:hAnsi="仿宋" w:eastAsia="仿宋" w:cs="楷体_GB2312"/>
          <w:b/>
          <w:bCs/>
          <w:sz w:val="32"/>
          <w:szCs w:val="32"/>
        </w:rPr>
        <w:t>1.评价方法</w:t>
      </w:r>
    </w:p>
    <w:p w14:paraId="349B8EEE">
      <w:pPr>
        <w:snapToGrid w:val="0"/>
        <w:spacing w:line="560" w:lineRule="exact"/>
        <w:ind w:firstLine="640" w:firstLineChars="200"/>
        <w:rPr>
          <w:rFonts w:ascii="仿宋" w:hAnsi="仿宋" w:eastAsia="仿宋" w:cs="楷体_GB2312"/>
          <w:sz w:val="32"/>
          <w:szCs w:val="32"/>
        </w:rPr>
      </w:pPr>
      <w:r>
        <w:rPr>
          <w:rFonts w:hint="eastAsia" w:ascii="仿宋" w:hAnsi="仿宋" w:eastAsia="仿宋" w:cs="楷体_GB2312"/>
          <w:sz w:val="32"/>
          <w:szCs w:val="32"/>
        </w:rPr>
        <w:t>根据相关资料及项目特点，采取定量分析与定性分析相结合，运用因素分析法、比较分析法、现场核查法、访谈等方法开展评价工作。从预算编制、预算执行、绩效目标完成情况、绩效目标设置质量等方面进行了综合评价。</w:t>
      </w:r>
    </w:p>
    <w:p w14:paraId="17C9E287">
      <w:pPr>
        <w:snapToGrid w:val="0"/>
        <w:spacing w:line="560" w:lineRule="exact"/>
        <w:ind w:firstLine="643" w:firstLineChars="200"/>
        <w:rPr>
          <w:rFonts w:ascii="仿宋" w:hAnsi="仿宋" w:eastAsia="仿宋" w:cs="楷体_GB2312"/>
          <w:b/>
          <w:bCs/>
          <w:sz w:val="32"/>
          <w:szCs w:val="32"/>
        </w:rPr>
      </w:pPr>
      <w:r>
        <w:rPr>
          <w:rFonts w:hint="eastAsia" w:ascii="仿宋" w:hAnsi="仿宋" w:eastAsia="仿宋" w:cs="楷体_GB2312"/>
          <w:b/>
          <w:bCs/>
          <w:sz w:val="32"/>
          <w:szCs w:val="32"/>
        </w:rPr>
        <w:t>2.实施过程</w:t>
      </w:r>
    </w:p>
    <w:p w14:paraId="1364CD47">
      <w:pPr>
        <w:snapToGrid w:val="0"/>
        <w:spacing w:line="560" w:lineRule="exact"/>
        <w:ind w:firstLine="640" w:firstLineChars="200"/>
        <w:rPr>
          <w:rFonts w:ascii="仿宋" w:hAnsi="仿宋" w:eastAsia="仿宋" w:cs="楷体_GB2312"/>
          <w:sz w:val="32"/>
          <w:szCs w:val="32"/>
        </w:rPr>
      </w:pPr>
      <w:r>
        <w:rPr>
          <w:rFonts w:hint="eastAsia" w:ascii="仿宋" w:hAnsi="仿宋" w:eastAsia="仿宋" w:cs="楷体_GB2312"/>
          <w:sz w:val="32"/>
          <w:szCs w:val="32"/>
        </w:rPr>
        <w:t>本次绩效评价工作过程包括前期准备、组织实施、撰写评价报告三个阶段。</w:t>
      </w:r>
    </w:p>
    <w:p w14:paraId="5A86B4D3">
      <w:pPr>
        <w:spacing w:line="560" w:lineRule="exact"/>
        <w:ind w:firstLine="640" w:firstLineChars="200"/>
        <w:rPr>
          <w:rFonts w:ascii="仿宋" w:hAnsi="仿宋" w:eastAsia="仿宋" w:cs="楷体_GB2312"/>
          <w:sz w:val="32"/>
          <w:szCs w:val="32"/>
        </w:rPr>
      </w:pPr>
      <w:r>
        <w:rPr>
          <w:rFonts w:hint="eastAsia" w:ascii="仿宋" w:hAnsi="仿宋" w:eastAsia="仿宋" w:cs="楷体_GB2312"/>
          <w:sz w:val="32"/>
          <w:szCs w:val="32"/>
        </w:rPr>
        <w:t>(1)前期准备</w:t>
      </w:r>
    </w:p>
    <w:p w14:paraId="7B03B9A3">
      <w:pPr>
        <w:spacing w:line="560" w:lineRule="exact"/>
        <w:ind w:firstLine="640" w:firstLineChars="200"/>
        <w:rPr>
          <w:rFonts w:ascii="仿宋" w:hAnsi="仿宋" w:eastAsia="仿宋" w:cs="楷体_GB2312"/>
          <w:sz w:val="32"/>
          <w:szCs w:val="32"/>
        </w:rPr>
      </w:pPr>
      <w:r>
        <w:rPr>
          <w:rFonts w:hint="eastAsia" w:ascii="仿宋" w:hAnsi="仿宋" w:eastAsia="仿宋" w:cs="楷体_GB2312"/>
          <w:sz w:val="32"/>
          <w:szCs w:val="32"/>
        </w:rPr>
        <w:t>一是按照绩效评价工作要求，明确绩效评价的内容和范围，初步制定绩效评价工作方案。二是召开座谈会，对工作方案进行反复讨论并广泛征求相关部门和有关人员意见。三是对我院各预算项目单独进行打分自评，在资料搜集、信息核实、现场调研、访谈沟通等工作的基础上，得出绩效数据，准确计量和评判各项目实施后产生的经济效益、生态效益、社会效益和可持续影响，为最终形成评价结论奠定基础。</w:t>
      </w:r>
    </w:p>
    <w:p w14:paraId="2FDD0C34">
      <w:pPr>
        <w:spacing w:line="560" w:lineRule="exact"/>
        <w:ind w:firstLine="640" w:firstLineChars="200"/>
        <w:rPr>
          <w:rFonts w:ascii="仿宋" w:hAnsi="仿宋" w:eastAsia="仿宋" w:cs="楷体_GB2312"/>
          <w:sz w:val="32"/>
          <w:szCs w:val="32"/>
        </w:rPr>
      </w:pPr>
      <w:r>
        <w:rPr>
          <w:rFonts w:hint="eastAsia" w:ascii="仿宋" w:hAnsi="仿宋" w:eastAsia="仿宋" w:cs="楷体_GB2312"/>
          <w:sz w:val="32"/>
          <w:szCs w:val="32"/>
        </w:rPr>
        <w:t>(2)组织实施</w:t>
      </w:r>
    </w:p>
    <w:p w14:paraId="73FCAA6C">
      <w:pPr>
        <w:spacing w:line="560" w:lineRule="exact"/>
        <w:ind w:firstLine="640" w:firstLineChars="200"/>
        <w:rPr>
          <w:rFonts w:ascii="仿宋" w:hAnsi="仿宋" w:eastAsia="仿宋" w:cs="楷体_GB2312"/>
          <w:sz w:val="32"/>
          <w:szCs w:val="32"/>
        </w:rPr>
      </w:pPr>
      <w:r>
        <w:rPr>
          <w:rFonts w:hint="eastAsia" w:ascii="仿宋" w:hAnsi="仿宋" w:eastAsia="仿宋" w:cs="楷体_GB2312"/>
          <w:sz w:val="32"/>
          <w:szCs w:val="32"/>
        </w:rPr>
        <w:t>评价工作小组对项目绩效目标的相关佐证材料进行收集、梳理。第一对相关资料进行查阅、核实、分析，确保所提供数据和资料真实、可靠。第二将项目资料按照评价体系指标分类，形成资料清单。第三逐一梳理各文件内容，对存在的问题予以说明。第四与相关人员进行沟通，对照核实资料清单，确保项目资料完整性，保证项目资料、实施流程、存在的问题及重点信息同时展现。</w:t>
      </w:r>
    </w:p>
    <w:p w14:paraId="4EF97576">
      <w:pPr>
        <w:spacing w:line="560" w:lineRule="exact"/>
        <w:ind w:firstLine="640" w:firstLineChars="200"/>
        <w:rPr>
          <w:rFonts w:ascii="仿宋" w:hAnsi="仿宋" w:eastAsia="仿宋" w:cs="楷体_GB2312"/>
          <w:sz w:val="32"/>
          <w:szCs w:val="32"/>
        </w:rPr>
      </w:pPr>
      <w:r>
        <w:rPr>
          <w:rFonts w:hint="eastAsia" w:ascii="仿宋" w:hAnsi="仿宋" w:eastAsia="仿宋" w:cs="楷体_GB2312"/>
          <w:sz w:val="32"/>
          <w:szCs w:val="32"/>
        </w:rPr>
        <w:t>小组成员根据项目实际情况，建立绩效评价指标体系，并通过分析收集的数据、资料，对项目的实施进行评分，形成项目绩效评分表。</w:t>
      </w:r>
    </w:p>
    <w:p w14:paraId="2BF26EFD">
      <w:pPr>
        <w:spacing w:line="560" w:lineRule="exact"/>
        <w:ind w:firstLine="640" w:firstLineChars="200"/>
        <w:rPr>
          <w:rFonts w:ascii="仿宋" w:hAnsi="仿宋" w:eastAsia="仿宋" w:cs="楷体_GB2312"/>
          <w:sz w:val="32"/>
          <w:szCs w:val="32"/>
        </w:rPr>
      </w:pPr>
      <w:r>
        <w:rPr>
          <w:rFonts w:hint="eastAsia" w:ascii="仿宋" w:hAnsi="仿宋" w:eastAsia="仿宋" w:cs="楷体_GB2312"/>
          <w:sz w:val="32"/>
          <w:szCs w:val="32"/>
        </w:rPr>
        <w:t>(3)撰写绩效评价报告</w:t>
      </w:r>
    </w:p>
    <w:p w14:paraId="3C5CE311">
      <w:pPr>
        <w:spacing w:line="560" w:lineRule="exact"/>
        <w:ind w:firstLine="640" w:firstLineChars="200"/>
        <w:rPr>
          <w:rFonts w:ascii="楷体" w:hAnsi="楷体" w:eastAsia="楷体" w:cs="楷体_GB2312"/>
          <w:bCs/>
          <w:sz w:val="32"/>
          <w:szCs w:val="32"/>
        </w:rPr>
      </w:pPr>
      <w:r>
        <w:rPr>
          <w:rFonts w:hint="eastAsia" w:ascii="仿宋" w:hAnsi="仿宋" w:eastAsia="仿宋" w:cs="楷体_GB2312"/>
          <w:sz w:val="32"/>
          <w:szCs w:val="32"/>
        </w:rPr>
        <w:t>根据项目绩效评价结果，撰写绩效评价报告。</w:t>
      </w:r>
    </w:p>
    <w:p w14:paraId="031BE99B">
      <w:pPr>
        <w:spacing w:line="560" w:lineRule="exact"/>
        <w:rPr>
          <w:rFonts w:ascii="黑体" w:hAnsi="黑体" w:eastAsia="黑体"/>
          <w:b/>
          <w:bCs/>
          <w:sz w:val="32"/>
          <w:szCs w:val="32"/>
        </w:rPr>
      </w:pPr>
      <w:r>
        <w:rPr>
          <w:rFonts w:hint="eastAsia" w:ascii="黑体" w:hAnsi="黑体" w:eastAsia="黑体"/>
          <w:sz w:val="32"/>
          <w:szCs w:val="32"/>
        </w:rPr>
        <w:t xml:space="preserve">    三、部门整体支出绩效目标实现情况及指标分析</w:t>
      </w:r>
    </w:p>
    <w:p w14:paraId="67D76839">
      <w:pPr>
        <w:numPr>
          <w:ilvl w:val="0"/>
          <w:numId w:val="2"/>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总体绩效目标实现情况</w:t>
      </w:r>
    </w:p>
    <w:p w14:paraId="3E492C4E">
      <w:pPr>
        <w:spacing w:line="560" w:lineRule="exact"/>
        <w:ind w:firstLine="800" w:firstLineChars="250"/>
        <w:rPr>
          <w:rFonts w:hint="eastAsia" w:ascii="仿宋" w:hAnsi="仿宋" w:eastAsia="仿宋"/>
          <w:sz w:val="32"/>
          <w:szCs w:val="32"/>
        </w:rPr>
      </w:pPr>
      <w:r>
        <w:rPr>
          <w:rFonts w:hint="eastAsia" w:ascii="仿宋" w:hAnsi="仿宋" w:eastAsia="仿宋"/>
          <w:sz w:val="32"/>
          <w:szCs w:val="32"/>
        </w:rPr>
        <w:t>2025年，在县委和上级检察机关坚强领导下，在县人大及其常委会的有力监督下，在县政府、县政协及社会各界的大力支持下，我院深入学习贯彻党的二十大及二十届历次全会精神，以习近平法治思想为根本遵循，以“高质效办好每一个案件”为核心主线，忠实履行宪法法律赋予的职责，各项检察工作取得新成效。一年来，1起刑事附带民事公益诉讼案件获评最高检、生态环境部联合发布典型案例，“陉侠仗益”检察文化品牌入选全省优秀名单，全面追责落实“环境有价，损害担责”等2经验做法被国家级媒体刊载，3名干警获评省市级荣誉。</w:t>
      </w:r>
    </w:p>
    <w:p w14:paraId="6B4C98D7">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（二）分项绩效目标实现情况及指标分析</w:t>
      </w:r>
    </w:p>
    <w:p w14:paraId="1CD1E691">
      <w:pPr>
        <w:spacing w:line="560" w:lineRule="exact"/>
        <w:ind w:firstLine="800" w:firstLineChars="250"/>
        <w:rPr>
          <w:rFonts w:ascii="仿宋" w:hAnsi="仿宋" w:eastAsia="仿宋"/>
          <w:sz w:val="32"/>
          <w:szCs w:val="32"/>
        </w:rPr>
      </w:pPr>
      <w:r>
        <w:rPr>
          <w:rFonts w:hint="eastAsia" w:ascii="仿宋" w:hAnsi="仿宋" w:eastAsia="仿宋"/>
          <w:sz w:val="32"/>
          <w:szCs w:val="32"/>
        </w:rPr>
        <w:t>1.</w:t>
      </w:r>
      <w:r>
        <w:rPr>
          <w:rFonts w:hint="eastAsia" w:ascii="仿宋" w:hAnsi="仿宋" w:eastAsia="仿宋"/>
          <w:sz w:val="32"/>
          <w:szCs w:val="32"/>
          <w:lang w:val="en-US" w:eastAsia="zh-CN"/>
        </w:rPr>
        <w:t xml:space="preserve"> </w:t>
      </w:r>
      <w:r>
        <w:rPr>
          <w:rFonts w:hint="eastAsia" w:ascii="仿宋" w:hAnsi="仿宋" w:eastAsia="仿宋"/>
          <w:sz w:val="32"/>
          <w:szCs w:val="32"/>
        </w:rPr>
        <w:t>项目①支出自评综述：该项目涉密。</w:t>
      </w:r>
    </w:p>
    <w:p w14:paraId="66EC98D5">
      <w:pPr>
        <w:spacing w:line="560" w:lineRule="exact"/>
        <w:ind w:firstLine="800" w:firstLineChars="250"/>
        <w:rPr>
          <w:rFonts w:ascii="仿宋" w:hAnsi="仿宋" w:eastAsia="仿宋"/>
          <w:sz w:val="32"/>
          <w:szCs w:val="32"/>
        </w:rPr>
      </w:pPr>
      <w:r>
        <w:rPr>
          <w:rFonts w:hint="eastAsia" w:ascii="仿宋" w:hAnsi="仿宋" w:eastAsia="仿宋"/>
          <w:sz w:val="32"/>
          <w:szCs w:val="32"/>
        </w:rPr>
        <w:t>2.</w:t>
      </w:r>
      <w:r>
        <w:rPr>
          <w:rFonts w:hint="eastAsia"/>
        </w:rPr>
        <w:t xml:space="preserve"> </w:t>
      </w:r>
      <w:r>
        <w:rPr>
          <w:rFonts w:hint="eastAsia" w:ascii="仿宋" w:hAnsi="仿宋" w:eastAsia="仿宋"/>
          <w:sz w:val="32"/>
          <w:szCs w:val="32"/>
        </w:rPr>
        <w:t>项目②支出自评综述：该项目涉密。</w:t>
      </w:r>
    </w:p>
    <w:p w14:paraId="13A4A432">
      <w:pPr>
        <w:spacing w:line="560" w:lineRule="exact"/>
        <w:ind w:firstLine="800" w:firstLineChars="250"/>
        <w:rPr>
          <w:rFonts w:ascii="仿宋" w:hAnsi="仿宋" w:eastAsia="仿宋"/>
          <w:sz w:val="32"/>
          <w:szCs w:val="32"/>
        </w:rPr>
      </w:pPr>
      <w:r>
        <w:rPr>
          <w:rFonts w:hint="eastAsia" w:ascii="仿宋" w:hAnsi="仿宋" w:eastAsia="仿宋"/>
          <w:sz w:val="32"/>
          <w:szCs w:val="32"/>
        </w:rPr>
        <w:t>3.</w:t>
      </w:r>
      <w:r>
        <w:rPr>
          <w:rFonts w:hint="eastAsia"/>
        </w:rPr>
        <w:t xml:space="preserve"> </w:t>
      </w:r>
      <w:r>
        <w:rPr>
          <w:rFonts w:hint="eastAsia" w:ascii="仿宋" w:hAnsi="仿宋" w:eastAsia="仿宋"/>
          <w:sz w:val="32"/>
          <w:szCs w:val="32"/>
        </w:rPr>
        <w:t>项目③支出自评综述：该项目涉密。</w:t>
      </w:r>
    </w:p>
    <w:p w14:paraId="3C7F99D3">
      <w:pPr>
        <w:spacing w:line="560" w:lineRule="exact"/>
        <w:ind w:firstLine="800" w:firstLineChars="250"/>
        <w:rPr>
          <w:rFonts w:ascii="仿宋" w:hAnsi="仿宋" w:eastAsia="仿宋"/>
          <w:sz w:val="32"/>
          <w:szCs w:val="32"/>
        </w:rPr>
      </w:pPr>
      <w:r>
        <w:rPr>
          <w:rFonts w:hint="eastAsia" w:ascii="仿宋" w:hAnsi="仿宋" w:eastAsia="仿宋"/>
          <w:sz w:val="32"/>
          <w:szCs w:val="32"/>
        </w:rPr>
        <w:t>4.</w:t>
      </w:r>
      <w:r>
        <w:rPr>
          <w:rFonts w:hint="eastAsia"/>
        </w:rPr>
        <w:t xml:space="preserve"> </w:t>
      </w:r>
      <w:r>
        <w:rPr>
          <w:rFonts w:hint="eastAsia" w:ascii="仿宋" w:hAnsi="仿宋" w:eastAsia="仿宋"/>
          <w:sz w:val="32"/>
          <w:szCs w:val="32"/>
        </w:rPr>
        <w:t>项目④支出自评综述：该项目涉密。</w:t>
      </w:r>
    </w:p>
    <w:p w14:paraId="18AC441D">
      <w:pPr>
        <w:spacing w:line="560" w:lineRule="exact"/>
        <w:ind w:firstLine="800" w:firstLineChars="250"/>
        <w:rPr>
          <w:rFonts w:ascii="仿宋" w:hAnsi="仿宋" w:eastAsia="仿宋"/>
          <w:sz w:val="32"/>
          <w:szCs w:val="32"/>
        </w:rPr>
      </w:pPr>
      <w:r>
        <w:rPr>
          <w:rFonts w:hint="eastAsia" w:ascii="仿宋" w:hAnsi="仿宋" w:eastAsia="仿宋"/>
          <w:sz w:val="32"/>
          <w:szCs w:val="32"/>
        </w:rPr>
        <w:t>5.</w:t>
      </w:r>
      <w:r>
        <w:rPr>
          <w:rFonts w:hint="eastAsia"/>
        </w:rPr>
        <w:t xml:space="preserve"> </w:t>
      </w:r>
      <w:r>
        <w:rPr>
          <w:rFonts w:hint="eastAsia" w:ascii="仿宋" w:hAnsi="仿宋" w:eastAsia="仿宋"/>
          <w:sz w:val="32"/>
          <w:szCs w:val="32"/>
        </w:rPr>
        <w:t>项目⑤支出自评综述：该项目涉密。</w:t>
      </w:r>
    </w:p>
    <w:p w14:paraId="20F122CA">
      <w:pPr>
        <w:spacing w:line="560" w:lineRule="exact"/>
        <w:ind w:firstLine="800" w:firstLineChars="250"/>
        <w:rPr>
          <w:rFonts w:hint="eastAsia" w:ascii="仿宋" w:hAnsi="仿宋" w:eastAsia="仿宋"/>
          <w:sz w:val="32"/>
          <w:szCs w:val="32"/>
        </w:rPr>
      </w:pPr>
      <w:r>
        <w:rPr>
          <w:rFonts w:hint="eastAsia" w:ascii="仿宋" w:hAnsi="仿宋" w:eastAsia="仿宋"/>
          <w:sz w:val="32"/>
          <w:szCs w:val="32"/>
          <w:lang w:val="en-US" w:eastAsia="zh-CN"/>
        </w:rPr>
        <w:t>6.劳动聘用人员经费项目</w:t>
      </w:r>
      <w:r>
        <w:rPr>
          <w:rFonts w:hint="eastAsia" w:ascii="仿宋" w:hAnsi="仿宋" w:eastAsia="仿宋"/>
          <w:sz w:val="32"/>
          <w:szCs w:val="32"/>
        </w:rPr>
        <w:t>支出自评综述</w:t>
      </w:r>
      <w:r>
        <w:rPr>
          <w:rFonts w:hint="eastAsia" w:ascii="仿宋" w:hAnsi="仿宋" w:eastAsia="仿宋"/>
          <w:sz w:val="32"/>
          <w:szCs w:val="32"/>
          <w:lang w:eastAsia="zh-CN"/>
        </w:rPr>
        <w:t>：</w:t>
      </w:r>
      <w:r>
        <w:rPr>
          <w:rFonts w:hint="eastAsia" w:ascii="仿宋" w:hAnsi="仿宋" w:eastAsia="仿宋"/>
          <w:sz w:val="32"/>
          <w:szCs w:val="32"/>
          <w:lang w:val="en-US" w:eastAsia="zh-CN"/>
        </w:rPr>
        <w:t>根据年初设定的绩效目标，</w:t>
      </w:r>
      <w:r>
        <w:rPr>
          <w:rFonts w:hint="eastAsia" w:ascii="仿宋" w:hAnsi="仿宋" w:eastAsia="仿宋"/>
          <w:sz w:val="32"/>
          <w:szCs w:val="32"/>
        </w:rPr>
        <w:t>项目支出自评得分为</w:t>
      </w:r>
      <w:r>
        <w:rPr>
          <w:rFonts w:hint="eastAsia" w:ascii="仿宋" w:hAnsi="仿宋" w:eastAsia="仿宋"/>
          <w:sz w:val="32"/>
          <w:szCs w:val="32"/>
          <w:lang w:val="en-US" w:eastAsia="zh-CN"/>
        </w:rPr>
        <w:t>95</w:t>
      </w:r>
      <w:r>
        <w:rPr>
          <w:rFonts w:hint="eastAsia" w:ascii="仿宋" w:hAnsi="仿宋" w:eastAsia="仿宋"/>
          <w:sz w:val="32"/>
          <w:szCs w:val="32"/>
        </w:rPr>
        <w:t>分。全年预算数为</w:t>
      </w:r>
      <w:r>
        <w:rPr>
          <w:rFonts w:hint="eastAsia" w:ascii="仿宋" w:hAnsi="仿宋" w:eastAsia="仿宋"/>
          <w:sz w:val="32"/>
          <w:szCs w:val="32"/>
          <w:lang w:val="en-US" w:eastAsia="zh-CN"/>
        </w:rPr>
        <w:t>28</w:t>
      </w:r>
      <w:r>
        <w:rPr>
          <w:rFonts w:hint="eastAsia" w:ascii="仿宋" w:hAnsi="仿宋" w:eastAsia="仿宋"/>
          <w:sz w:val="32"/>
          <w:szCs w:val="32"/>
        </w:rPr>
        <w:t>万元，执行数为</w:t>
      </w:r>
      <w:r>
        <w:rPr>
          <w:rFonts w:hint="eastAsia" w:ascii="仿宋" w:hAnsi="仿宋" w:eastAsia="仿宋"/>
          <w:sz w:val="32"/>
          <w:szCs w:val="32"/>
          <w:lang w:val="en-US" w:eastAsia="zh-CN"/>
        </w:rPr>
        <w:t>28</w:t>
      </w:r>
      <w:r>
        <w:rPr>
          <w:rFonts w:hint="eastAsia" w:ascii="仿宋" w:hAnsi="仿宋" w:eastAsia="仿宋"/>
          <w:sz w:val="32"/>
          <w:szCs w:val="32"/>
        </w:rPr>
        <w:t>万元，项目绩效完成情况良好，通过经费的支出，确实保障了劳动聘用人员工资及社保的正常支出，提高了工作效率，保障了办案工作顺利进展。</w:t>
      </w:r>
    </w:p>
    <w:p w14:paraId="23975D34">
      <w:pPr>
        <w:pStyle w:val="2"/>
        <w:ind w:left="0" w:leftChars="0" w:firstLine="0" w:firstLineChars="0"/>
      </w:pPr>
      <w:r>
        <w:pict>
          <v:shape id="_x0000_i1025" o:spt="75" type="#_x0000_t75" style="height:530.75pt;width:438.5pt;" filled="f" o:preferrelative="t" stroked="f" coordsize="21600,21600">
            <v:path/>
            <v:fill on="f" focussize="0,0"/>
            <v:stroke on="f"/>
            <v:imagedata r:id="rId5" cropbottom="-2261f" o:title=""/>
            <o:lock v:ext="edit" aspectratio="t"/>
            <w10:wrap type="none"/>
            <w10:anchorlock/>
          </v:shape>
        </w:pict>
      </w:r>
    </w:p>
    <w:p w14:paraId="620DC63B">
      <w:pPr>
        <w:spacing w:line="560" w:lineRule="exact"/>
        <w:ind w:firstLine="800" w:firstLineChars="250"/>
        <w:rPr>
          <w:rFonts w:hint="eastAsia" w:ascii="仿宋" w:hAnsi="仿宋" w:eastAsia="仿宋"/>
          <w:sz w:val="32"/>
          <w:szCs w:val="32"/>
          <w:lang w:val="en-US" w:eastAsia="zh-CN"/>
        </w:rPr>
      </w:pPr>
    </w:p>
    <w:p w14:paraId="44A00065">
      <w:pPr>
        <w:spacing w:line="560" w:lineRule="exact"/>
        <w:ind w:firstLine="800" w:firstLineChars="250"/>
        <w:rPr>
          <w:rFonts w:hint="eastAsia" w:ascii="仿宋" w:hAnsi="仿宋" w:eastAsia="仿宋"/>
          <w:sz w:val="32"/>
          <w:szCs w:val="32"/>
          <w:lang w:val="en-US" w:eastAsia="zh-CN"/>
        </w:rPr>
      </w:pPr>
    </w:p>
    <w:p w14:paraId="760F01FE">
      <w:pPr>
        <w:spacing w:line="560" w:lineRule="exact"/>
        <w:ind w:firstLine="800" w:firstLineChars="250"/>
        <w:rPr>
          <w:rFonts w:hint="eastAsia" w:ascii="仿宋" w:hAnsi="仿宋" w:eastAsia="仿宋"/>
          <w:sz w:val="32"/>
          <w:szCs w:val="32"/>
          <w:lang w:val="en-US" w:eastAsia="zh-CN"/>
        </w:rPr>
      </w:pPr>
    </w:p>
    <w:p w14:paraId="3EC80979">
      <w:pPr>
        <w:spacing w:line="560" w:lineRule="exact"/>
        <w:ind w:firstLine="800" w:firstLineChars="250"/>
        <w:rPr>
          <w:rFonts w:hint="eastAsia" w:ascii="仿宋" w:hAnsi="仿宋" w:eastAsia="仿宋"/>
          <w:sz w:val="32"/>
          <w:szCs w:val="32"/>
          <w:lang w:val="en-US" w:eastAsia="zh-CN"/>
        </w:rPr>
      </w:pPr>
    </w:p>
    <w:p w14:paraId="03B5C3EF">
      <w:pPr>
        <w:spacing w:line="560" w:lineRule="exact"/>
        <w:ind w:firstLine="800" w:firstLineChars="250"/>
        <w:rPr>
          <w:rFonts w:hint="eastAsia" w:ascii="仿宋" w:hAnsi="仿宋" w:eastAsia="仿宋"/>
          <w:sz w:val="32"/>
          <w:szCs w:val="32"/>
        </w:rPr>
      </w:pPr>
      <w:r>
        <w:rPr>
          <w:rFonts w:hint="eastAsia" w:ascii="仿宋" w:hAnsi="仿宋" w:eastAsia="仿宋"/>
          <w:sz w:val="32"/>
          <w:szCs w:val="32"/>
          <w:lang w:val="en-US" w:eastAsia="zh-CN"/>
        </w:rPr>
        <w:t>7.单位运行电费项目</w:t>
      </w:r>
      <w:r>
        <w:rPr>
          <w:rFonts w:hint="eastAsia" w:ascii="仿宋" w:hAnsi="仿宋" w:eastAsia="仿宋"/>
          <w:sz w:val="32"/>
          <w:szCs w:val="32"/>
        </w:rPr>
        <w:t>支出自评综述</w:t>
      </w:r>
      <w:r>
        <w:rPr>
          <w:rFonts w:hint="eastAsia" w:ascii="仿宋" w:hAnsi="仿宋" w:eastAsia="仿宋"/>
          <w:sz w:val="32"/>
          <w:szCs w:val="32"/>
          <w:lang w:eastAsia="zh-CN"/>
        </w:rPr>
        <w:t>：</w:t>
      </w:r>
      <w:r>
        <w:rPr>
          <w:rFonts w:hint="eastAsia" w:ascii="仿宋" w:hAnsi="仿宋" w:eastAsia="仿宋"/>
          <w:sz w:val="32"/>
          <w:szCs w:val="32"/>
          <w:lang w:val="en-US" w:eastAsia="zh-CN"/>
        </w:rPr>
        <w:t>根据年初设定的绩效目标，</w:t>
      </w:r>
      <w:r>
        <w:rPr>
          <w:rFonts w:hint="eastAsia" w:ascii="仿宋" w:hAnsi="仿宋" w:eastAsia="仿宋"/>
          <w:sz w:val="32"/>
          <w:szCs w:val="32"/>
        </w:rPr>
        <w:t>项目支出自评得分为</w:t>
      </w:r>
      <w:r>
        <w:rPr>
          <w:rFonts w:hint="eastAsia" w:ascii="仿宋" w:hAnsi="仿宋" w:eastAsia="仿宋"/>
          <w:sz w:val="32"/>
          <w:szCs w:val="32"/>
          <w:lang w:val="en-US" w:eastAsia="zh-CN"/>
        </w:rPr>
        <w:t>100</w:t>
      </w:r>
      <w:r>
        <w:rPr>
          <w:rFonts w:hint="eastAsia" w:ascii="仿宋" w:hAnsi="仿宋" w:eastAsia="仿宋"/>
          <w:sz w:val="32"/>
          <w:szCs w:val="32"/>
        </w:rPr>
        <w:t>分。全年预算数为</w:t>
      </w:r>
      <w:r>
        <w:rPr>
          <w:rFonts w:hint="eastAsia" w:ascii="仿宋" w:hAnsi="仿宋" w:eastAsia="仿宋"/>
          <w:sz w:val="32"/>
          <w:szCs w:val="32"/>
          <w:lang w:val="en-US" w:eastAsia="zh-CN"/>
        </w:rPr>
        <w:t>9</w:t>
      </w:r>
      <w:r>
        <w:rPr>
          <w:rFonts w:hint="eastAsia" w:ascii="仿宋" w:hAnsi="仿宋" w:eastAsia="仿宋"/>
          <w:sz w:val="32"/>
          <w:szCs w:val="32"/>
        </w:rPr>
        <w:t>万元，执行数为</w:t>
      </w:r>
      <w:r>
        <w:rPr>
          <w:rFonts w:hint="eastAsia" w:ascii="仿宋" w:hAnsi="仿宋" w:eastAsia="仿宋"/>
          <w:sz w:val="32"/>
          <w:szCs w:val="32"/>
          <w:lang w:val="en-US" w:eastAsia="zh-CN"/>
        </w:rPr>
        <w:t>9</w:t>
      </w:r>
      <w:r>
        <w:rPr>
          <w:rFonts w:hint="eastAsia" w:ascii="仿宋" w:hAnsi="仿宋" w:eastAsia="仿宋"/>
          <w:sz w:val="32"/>
          <w:szCs w:val="32"/>
        </w:rPr>
        <w:t>万元，项目绩效完成情况良好，通过经费的支出，保障了单位正常运转，保障了检察工作顺利开展。</w:t>
      </w:r>
    </w:p>
    <w:p w14:paraId="22DA861D">
      <w:r>
        <w:pict>
          <v:shape id="_x0000_i1026" o:spt="75" type="#_x0000_t75" style="height:519.85pt;width:440.15pt;" filled="f" o:preferrelative="t" stroked="f" coordsize="21600,21600">
            <v:path/>
            <v:fill on="f" focussize="0,0"/>
            <v:stroke on="f"/>
            <v:imagedata r:id="rId6" cropbottom="-1122f" o:title=""/>
            <o:lock v:ext="edit" aspectratio="t"/>
            <w10:wrap type="none"/>
            <w10:anchorlock/>
          </v:shape>
        </w:pict>
      </w:r>
    </w:p>
    <w:p w14:paraId="2C4A3430">
      <w:pPr>
        <w:numPr>
          <w:numId w:val="0"/>
        </w:numPr>
        <w:spacing w:line="560" w:lineRule="exact"/>
        <w:rPr>
          <w:rFonts w:hint="eastAsia" w:ascii="仿宋" w:hAnsi="仿宋" w:eastAsia="仿宋"/>
          <w:sz w:val="32"/>
          <w:szCs w:val="32"/>
          <w:lang w:val="en-US" w:eastAsia="zh-CN"/>
        </w:rPr>
      </w:pPr>
    </w:p>
    <w:p w14:paraId="43A45BEF">
      <w:pPr>
        <w:numPr>
          <w:numId w:val="0"/>
        </w:num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8.聘用制书记员人员经费项目</w:t>
      </w:r>
      <w:r>
        <w:rPr>
          <w:rFonts w:hint="eastAsia" w:ascii="仿宋" w:hAnsi="仿宋" w:eastAsia="仿宋"/>
          <w:sz w:val="32"/>
          <w:szCs w:val="32"/>
        </w:rPr>
        <w:t>支出自评综述</w:t>
      </w:r>
      <w:r>
        <w:rPr>
          <w:rFonts w:hint="eastAsia" w:ascii="仿宋" w:hAnsi="仿宋" w:eastAsia="仿宋"/>
          <w:sz w:val="32"/>
          <w:szCs w:val="32"/>
          <w:lang w:eastAsia="zh-CN"/>
        </w:rPr>
        <w:t>：</w:t>
      </w:r>
      <w:r>
        <w:rPr>
          <w:rFonts w:hint="eastAsia" w:ascii="仿宋" w:hAnsi="仿宋" w:eastAsia="仿宋"/>
          <w:sz w:val="32"/>
          <w:szCs w:val="32"/>
          <w:lang w:val="en-US" w:eastAsia="zh-CN"/>
        </w:rPr>
        <w:t>根据年初设定的绩效目标，</w:t>
      </w:r>
      <w:r>
        <w:rPr>
          <w:rFonts w:hint="eastAsia" w:ascii="仿宋" w:hAnsi="仿宋" w:eastAsia="仿宋"/>
          <w:sz w:val="32"/>
          <w:szCs w:val="32"/>
        </w:rPr>
        <w:t>项目支出自评得分为</w:t>
      </w:r>
      <w:r>
        <w:rPr>
          <w:rFonts w:hint="eastAsia" w:ascii="仿宋" w:hAnsi="仿宋" w:eastAsia="仿宋"/>
          <w:sz w:val="32"/>
          <w:szCs w:val="32"/>
          <w:lang w:val="en-US" w:eastAsia="zh-CN"/>
        </w:rPr>
        <w:t>91</w:t>
      </w:r>
      <w:r>
        <w:rPr>
          <w:rFonts w:hint="eastAsia" w:ascii="仿宋" w:hAnsi="仿宋" w:eastAsia="仿宋"/>
          <w:sz w:val="32"/>
          <w:szCs w:val="32"/>
        </w:rPr>
        <w:t>分。全年预算数为</w:t>
      </w:r>
      <w:r>
        <w:rPr>
          <w:rFonts w:hint="eastAsia" w:ascii="仿宋" w:hAnsi="仿宋" w:eastAsia="仿宋"/>
          <w:sz w:val="32"/>
          <w:szCs w:val="32"/>
          <w:lang w:val="en-US" w:eastAsia="zh-CN"/>
        </w:rPr>
        <w:t>75</w:t>
      </w:r>
      <w:r>
        <w:rPr>
          <w:rFonts w:hint="eastAsia" w:ascii="仿宋" w:hAnsi="仿宋" w:eastAsia="仿宋"/>
          <w:sz w:val="32"/>
          <w:szCs w:val="32"/>
        </w:rPr>
        <w:t>万元，执行数为</w:t>
      </w:r>
      <w:r>
        <w:rPr>
          <w:rFonts w:hint="eastAsia" w:ascii="仿宋" w:hAnsi="仿宋" w:eastAsia="仿宋"/>
          <w:sz w:val="32"/>
          <w:szCs w:val="32"/>
          <w:lang w:val="en-US" w:eastAsia="zh-CN"/>
        </w:rPr>
        <w:t>70.221</w:t>
      </w:r>
      <w:r>
        <w:rPr>
          <w:rFonts w:hint="eastAsia" w:ascii="仿宋" w:hAnsi="仿宋" w:eastAsia="仿宋"/>
          <w:sz w:val="32"/>
          <w:szCs w:val="32"/>
        </w:rPr>
        <w:t>万元，项目绩效完成情况良好，通过经费的支出，及时支付了书记员薪酬及保险，保障了书记员履职所需经费，提高了工作积极性。</w:t>
      </w:r>
    </w:p>
    <w:p w14:paraId="6671BE88">
      <w:pPr>
        <w:rPr>
          <w:rFonts w:hint="eastAsia"/>
        </w:rPr>
      </w:pPr>
      <w:r>
        <w:pict>
          <v:shape id="_x0000_i1027" o:spt="75" alt="" type="#_x0000_t75" style="height:535.45pt;width:424.5pt;" filled="f" o:preferrelative="t" stroked="f" coordsize="21600,21600">
            <v:path/>
            <v:fill on="f" focussize="0,0"/>
            <v:stroke on="f"/>
            <v:imagedata r:id="rId7" cropbottom="-1397f" o:title=""/>
            <o:lock v:ext="edit" aspectratio="t"/>
            <w10:wrap type="none"/>
            <w10:anchorlock/>
          </v:shape>
        </w:pict>
      </w:r>
    </w:p>
    <w:p w14:paraId="5A86F5DC">
      <w:pPr>
        <w:numPr>
          <w:numId w:val="0"/>
        </w:num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9.</w:t>
      </w:r>
      <w:r>
        <w:rPr>
          <w:rFonts w:hint="eastAsia" w:ascii="仿宋" w:hAnsi="仿宋" w:eastAsia="仿宋"/>
          <w:sz w:val="32"/>
          <w:szCs w:val="32"/>
        </w:rPr>
        <w:t>党组织活动经费</w:t>
      </w:r>
      <w:r>
        <w:rPr>
          <w:rFonts w:hint="eastAsia" w:ascii="仿宋" w:hAnsi="仿宋" w:eastAsia="仿宋"/>
          <w:sz w:val="32"/>
          <w:szCs w:val="32"/>
          <w:lang w:val="en-US" w:eastAsia="zh-CN"/>
        </w:rPr>
        <w:t>项目</w:t>
      </w:r>
      <w:r>
        <w:rPr>
          <w:rFonts w:hint="eastAsia" w:ascii="仿宋" w:hAnsi="仿宋" w:eastAsia="仿宋"/>
          <w:sz w:val="32"/>
          <w:szCs w:val="32"/>
        </w:rPr>
        <w:t>支出自评综述</w:t>
      </w:r>
      <w:r>
        <w:rPr>
          <w:rFonts w:hint="eastAsia" w:ascii="仿宋" w:hAnsi="仿宋" w:eastAsia="仿宋"/>
          <w:sz w:val="32"/>
          <w:szCs w:val="32"/>
          <w:lang w:eastAsia="zh-CN"/>
        </w:rPr>
        <w:t>：</w:t>
      </w:r>
      <w:r>
        <w:rPr>
          <w:rFonts w:hint="eastAsia" w:ascii="仿宋" w:hAnsi="仿宋" w:eastAsia="仿宋"/>
          <w:sz w:val="32"/>
          <w:szCs w:val="32"/>
          <w:lang w:val="en-US" w:eastAsia="zh-CN"/>
        </w:rPr>
        <w:t>根据年初设定的绩效目标，</w:t>
      </w:r>
      <w:r>
        <w:rPr>
          <w:rFonts w:hint="eastAsia" w:ascii="仿宋" w:hAnsi="仿宋" w:eastAsia="仿宋"/>
          <w:sz w:val="32"/>
          <w:szCs w:val="32"/>
        </w:rPr>
        <w:t>项目支出自评得分为</w:t>
      </w:r>
      <w:r>
        <w:rPr>
          <w:rFonts w:hint="eastAsia" w:ascii="仿宋" w:hAnsi="仿宋" w:eastAsia="仿宋"/>
          <w:sz w:val="32"/>
          <w:szCs w:val="32"/>
          <w:lang w:val="en-US" w:eastAsia="zh-CN"/>
        </w:rPr>
        <w:t>94</w:t>
      </w:r>
      <w:r>
        <w:rPr>
          <w:rFonts w:hint="eastAsia" w:ascii="仿宋" w:hAnsi="仿宋" w:eastAsia="仿宋"/>
          <w:sz w:val="32"/>
          <w:szCs w:val="32"/>
        </w:rPr>
        <w:t>分。全年预算数为</w:t>
      </w:r>
      <w:r>
        <w:rPr>
          <w:rFonts w:hint="eastAsia" w:ascii="仿宋" w:hAnsi="仿宋" w:eastAsia="仿宋"/>
          <w:sz w:val="32"/>
          <w:szCs w:val="32"/>
          <w:lang w:val="en-US" w:eastAsia="zh-CN"/>
        </w:rPr>
        <w:t>3.22</w:t>
      </w:r>
      <w:r>
        <w:rPr>
          <w:rFonts w:hint="eastAsia" w:ascii="仿宋" w:hAnsi="仿宋" w:eastAsia="仿宋"/>
          <w:sz w:val="32"/>
          <w:szCs w:val="32"/>
        </w:rPr>
        <w:t>万元，执行数为</w:t>
      </w:r>
      <w:r>
        <w:rPr>
          <w:rFonts w:hint="eastAsia" w:ascii="仿宋" w:hAnsi="仿宋" w:eastAsia="仿宋"/>
          <w:sz w:val="32"/>
          <w:szCs w:val="32"/>
          <w:lang w:val="en-US" w:eastAsia="zh-CN"/>
        </w:rPr>
        <w:t>3.22</w:t>
      </w:r>
      <w:r>
        <w:rPr>
          <w:rFonts w:hint="eastAsia" w:ascii="仿宋" w:hAnsi="仿宋" w:eastAsia="仿宋"/>
          <w:sz w:val="32"/>
          <w:szCs w:val="32"/>
        </w:rPr>
        <w:t>万元，项目绩效完成情况良好，通过组织各项党组织活动，提高了全员党员政治能力和综合素质水平，加强了基层党组织和党员队伍建设。</w:t>
      </w:r>
    </w:p>
    <w:p w14:paraId="6CBD332F">
      <w:pPr>
        <w:pStyle w:val="2"/>
        <w:rPr>
          <w:rFonts w:hint="eastAsia" w:ascii="仿宋" w:hAnsi="仿宋" w:eastAsia="仿宋"/>
          <w:sz w:val="32"/>
          <w:szCs w:val="32"/>
        </w:rPr>
      </w:pPr>
    </w:p>
    <w:p w14:paraId="2C1410CE">
      <w:pPr>
        <w:rPr>
          <w:rFonts w:hint="eastAsia" w:ascii="仿宋" w:hAnsi="仿宋" w:eastAsia="仿宋"/>
          <w:sz w:val="32"/>
          <w:szCs w:val="32"/>
          <w:lang w:val="en-US" w:eastAsia="zh-CN"/>
        </w:rPr>
      </w:pPr>
      <w:r>
        <w:pict>
          <v:shape id="_x0000_i1028" o:spt="75" alt="" type="#_x0000_t75" style="height:521.95pt;width:422.6pt;" filled="f" o:preferrelative="t" stroked="f" coordsize="21600,21600">
            <v:path/>
            <v:fill on="f" focussize="0,0"/>
            <v:stroke on="f"/>
            <v:imagedata r:id="rId8" cropbottom="-1072f" o:title=""/>
            <o:lock v:ext="edit" aspectratio="t"/>
            <w10:wrap type="none"/>
            <w10:anchorlock/>
          </v:shape>
        </w:pict>
      </w:r>
    </w:p>
    <w:p w14:paraId="5DF7C944">
      <w:pPr>
        <w:numPr>
          <w:ilvl w:val="0"/>
          <w:numId w:val="0"/>
        </w:numPr>
        <w:spacing w:line="560" w:lineRule="exact"/>
        <w:ind w:firstLine="640" w:firstLineChars="200"/>
        <w:rPr>
          <w:rFonts w:hint="eastAsia" w:ascii="仿宋" w:hAnsi="仿宋" w:eastAsia="仿宋"/>
          <w:sz w:val="32"/>
          <w:szCs w:val="32"/>
        </w:rPr>
      </w:pPr>
      <w:r>
        <w:rPr>
          <w:rFonts w:hint="eastAsia" w:ascii="仿宋" w:hAnsi="仿宋" w:eastAsia="仿宋"/>
          <w:sz w:val="32"/>
          <w:szCs w:val="32"/>
          <w:lang w:val="en-US" w:eastAsia="zh-CN"/>
        </w:rPr>
        <w:t>10.</w:t>
      </w:r>
      <w:r>
        <w:rPr>
          <w:rFonts w:hint="eastAsia" w:ascii="仿宋" w:hAnsi="仿宋" w:eastAsia="仿宋"/>
          <w:sz w:val="32"/>
          <w:szCs w:val="32"/>
        </w:rPr>
        <w:t>业务保障经费</w:t>
      </w:r>
      <w:r>
        <w:rPr>
          <w:rFonts w:hint="eastAsia" w:ascii="仿宋" w:hAnsi="仿宋" w:eastAsia="仿宋"/>
          <w:sz w:val="32"/>
          <w:szCs w:val="32"/>
          <w:lang w:val="en-US" w:eastAsia="zh-CN"/>
        </w:rPr>
        <w:t>项目</w:t>
      </w:r>
      <w:r>
        <w:rPr>
          <w:rFonts w:hint="eastAsia" w:ascii="仿宋" w:hAnsi="仿宋" w:eastAsia="仿宋"/>
          <w:sz w:val="32"/>
          <w:szCs w:val="32"/>
        </w:rPr>
        <w:t>支出自评综述</w:t>
      </w:r>
      <w:r>
        <w:rPr>
          <w:rFonts w:hint="eastAsia" w:ascii="仿宋" w:hAnsi="仿宋" w:eastAsia="仿宋"/>
          <w:sz w:val="32"/>
          <w:szCs w:val="32"/>
          <w:lang w:eastAsia="zh-CN"/>
        </w:rPr>
        <w:t>：</w:t>
      </w:r>
      <w:r>
        <w:rPr>
          <w:rFonts w:hint="eastAsia" w:ascii="仿宋" w:hAnsi="仿宋" w:eastAsia="仿宋"/>
          <w:sz w:val="32"/>
          <w:szCs w:val="32"/>
          <w:lang w:val="en-US" w:eastAsia="zh-CN"/>
        </w:rPr>
        <w:t>根据年初设定的绩效目标，</w:t>
      </w:r>
      <w:r>
        <w:rPr>
          <w:rFonts w:hint="eastAsia" w:ascii="仿宋" w:hAnsi="仿宋" w:eastAsia="仿宋"/>
          <w:sz w:val="32"/>
          <w:szCs w:val="32"/>
        </w:rPr>
        <w:t>项目支出自评得分为</w:t>
      </w:r>
      <w:r>
        <w:rPr>
          <w:rFonts w:hint="eastAsia" w:ascii="仿宋" w:hAnsi="仿宋" w:eastAsia="仿宋"/>
          <w:sz w:val="32"/>
          <w:szCs w:val="32"/>
          <w:lang w:val="en-US" w:eastAsia="zh-CN"/>
        </w:rPr>
        <w:t>100</w:t>
      </w:r>
      <w:r>
        <w:rPr>
          <w:rFonts w:hint="eastAsia" w:ascii="仿宋" w:hAnsi="仿宋" w:eastAsia="仿宋"/>
          <w:sz w:val="32"/>
          <w:szCs w:val="32"/>
        </w:rPr>
        <w:t>分。全年预算数为</w:t>
      </w:r>
      <w:r>
        <w:rPr>
          <w:rFonts w:hint="eastAsia" w:ascii="仿宋" w:hAnsi="仿宋" w:eastAsia="仿宋"/>
          <w:sz w:val="32"/>
          <w:szCs w:val="32"/>
          <w:lang w:val="en-US" w:eastAsia="zh-CN"/>
        </w:rPr>
        <w:t>4.68</w:t>
      </w:r>
      <w:r>
        <w:rPr>
          <w:rFonts w:hint="eastAsia" w:ascii="仿宋" w:hAnsi="仿宋" w:eastAsia="仿宋"/>
          <w:sz w:val="32"/>
          <w:szCs w:val="32"/>
        </w:rPr>
        <w:t>万元，执行数为</w:t>
      </w:r>
      <w:r>
        <w:rPr>
          <w:rFonts w:hint="eastAsia" w:ascii="仿宋" w:hAnsi="仿宋" w:eastAsia="仿宋"/>
          <w:sz w:val="32"/>
          <w:szCs w:val="32"/>
          <w:lang w:val="en-US" w:eastAsia="zh-CN"/>
        </w:rPr>
        <w:t>4.68</w:t>
      </w:r>
      <w:r>
        <w:rPr>
          <w:rFonts w:hint="eastAsia" w:ascii="仿宋" w:hAnsi="仿宋" w:eastAsia="仿宋"/>
          <w:sz w:val="32"/>
          <w:szCs w:val="32"/>
        </w:rPr>
        <w:t>万元，项目绩效完成情况良好，通过经费的支出，保障了单位正常的运转，检查工作能够正常顺利进行。</w:t>
      </w:r>
    </w:p>
    <w:p w14:paraId="61C3B8FD">
      <w:pPr>
        <w:pStyle w:val="2"/>
        <w:ind w:left="0" w:leftChars="0" w:firstLine="0" w:firstLineChars="0"/>
        <w:rPr>
          <w:rFonts w:ascii="仿宋" w:hAnsi="仿宋" w:eastAsia="仿宋"/>
          <w:sz w:val="32"/>
          <w:szCs w:val="32"/>
        </w:rPr>
      </w:pPr>
    </w:p>
    <w:p w14:paraId="46E04990">
      <w:r>
        <w:pict>
          <v:shape id="_x0000_i1029" o:spt="75" type="#_x0000_t75" style="height:489pt;width:448.4pt;" filled="f" o:preferrelative="t" stroked="f" coordsize="21600,21600">
            <v:path/>
            <v:fill on="f" focussize="0,0"/>
            <v:stroke on="f"/>
            <v:imagedata r:id="rId9" cropbottom="-1055f" o:title=""/>
            <o:lock v:ext="edit" aspectratio="t"/>
            <w10:wrap type="none"/>
            <w10:anchorlock/>
          </v:shape>
        </w:pict>
      </w:r>
    </w:p>
    <w:p w14:paraId="3BBC1A5B">
      <w:pPr>
        <w:spacing w:line="560" w:lineRule="exact"/>
        <w:rPr>
          <w:rFonts w:hint="eastAsia" w:ascii="黑体" w:hAnsi="黑体" w:eastAsia="黑体"/>
          <w:sz w:val="32"/>
          <w:szCs w:val="32"/>
        </w:rPr>
      </w:pPr>
    </w:p>
    <w:p w14:paraId="179C6653">
      <w:pPr>
        <w:spacing w:line="560" w:lineRule="exact"/>
        <w:ind w:firstLine="640" w:firstLineChars="200"/>
        <w:rPr>
          <w:rFonts w:ascii="黑体" w:hAnsi="黑体" w:eastAsia="黑体"/>
          <w:sz w:val="32"/>
          <w:szCs w:val="32"/>
        </w:rPr>
      </w:pPr>
      <w:r>
        <w:rPr>
          <w:rFonts w:hint="eastAsia" w:ascii="黑体" w:hAnsi="黑体" w:eastAsia="黑体"/>
          <w:sz w:val="32"/>
          <w:szCs w:val="32"/>
        </w:rPr>
        <w:t>四、评价结论和评价等级</w:t>
      </w:r>
    </w:p>
    <w:p w14:paraId="3D767232">
      <w:pPr>
        <w:spacing w:line="560" w:lineRule="exact"/>
        <w:ind w:firstLine="640" w:firstLineChars="200"/>
        <w:rPr>
          <w:rFonts w:ascii="仿宋" w:hAnsi="仿宋" w:eastAsia="仿宋"/>
          <w:sz w:val="32"/>
          <w:szCs w:val="32"/>
        </w:rPr>
      </w:pPr>
      <w:r>
        <w:rPr>
          <w:rFonts w:hint="eastAsia" w:ascii="仿宋" w:hAnsi="仿宋" w:eastAsia="仿宋"/>
          <w:sz w:val="32"/>
          <w:szCs w:val="32"/>
        </w:rPr>
        <w:t>202</w:t>
      </w:r>
      <w:r>
        <w:rPr>
          <w:rFonts w:hint="eastAsia" w:ascii="仿宋" w:hAnsi="仿宋" w:eastAsia="仿宋"/>
          <w:sz w:val="32"/>
          <w:szCs w:val="32"/>
          <w:lang w:val="en-US" w:eastAsia="zh-CN"/>
        </w:rPr>
        <w:t>5</w:t>
      </w:r>
      <w:r>
        <w:rPr>
          <w:rFonts w:hint="eastAsia" w:ascii="仿宋" w:hAnsi="仿宋" w:eastAsia="仿宋"/>
          <w:sz w:val="32"/>
          <w:szCs w:val="32"/>
        </w:rPr>
        <w:t>年我院积极履职，通过加强预算收支管理，不断梳理内部管理流程，建立健全内部管理制度，部门整体支出管理水平得到提升。经自评，我院</w:t>
      </w:r>
      <w:r>
        <w:rPr>
          <w:rFonts w:hint="eastAsia" w:ascii="仿宋" w:hAnsi="仿宋" w:eastAsia="仿宋"/>
          <w:sz w:val="32"/>
          <w:szCs w:val="32"/>
          <w:lang w:val="en-US" w:eastAsia="zh-CN"/>
        </w:rPr>
        <w:t>10</w:t>
      </w:r>
      <w:r>
        <w:rPr>
          <w:rFonts w:hint="eastAsia" w:ascii="仿宋" w:hAnsi="仿宋" w:eastAsia="仿宋"/>
          <w:sz w:val="32"/>
          <w:szCs w:val="32"/>
        </w:rPr>
        <w:t>个项目自评得分均在90分以上，202</w:t>
      </w:r>
      <w:r>
        <w:rPr>
          <w:rFonts w:hint="eastAsia" w:ascii="仿宋" w:hAnsi="仿宋" w:eastAsia="仿宋"/>
          <w:sz w:val="32"/>
          <w:szCs w:val="32"/>
          <w:lang w:val="en-US" w:eastAsia="zh-CN"/>
        </w:rPr>
        <w:t>5</w:t>
      </w:r>
      <w:r>
        <w:rPr>
          <w:rFonts w:hint="eastAsia" w:ascii="仿宋" w:hAnsi="仿宋" w:eastAsia="仿宋"/>
          <w:sz w:val="32"/>
          <w:szCs w:val="32"/>
        </w:rPr>
        <w:t>年我院较好的完成了年度工作目标，综合评价等级为“优秀”。</w:t>
      </w:r>
    </w:p>
    <w:p w14:paraId="55A41225">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14:paraId="5972F63C">
      <w:pPr>
        <w:spacing w:line="560" w:lineRule="exact"/>
        <w:ind w:firstLine="640" w:firstLineChars="200"/>
        <w:rPr>
          <w:rFonts w:hint="eastAsia" w:ascii="楷体" w:hAnsi="楷体" w:eastAsia="楷体"/>
          <w:bCs/>
          <w:sz w:val="32"/>
          <w:szCs w:val="32"/>
        </w:rPr>
      </w:pPr>
      <w:r>
        <w:rPr>
          <w:rFonts w:hint="eastAsia" w:ascii="楷体" w:hAnsi="楷体" w:eastAsia="楷体"/>
          <w:bCs/>
          <w:sz w:val="32"/>
          <w:szCs w:val="32"/>
        </w:rPr>
        <w:t>（一）存在的主要问题</w:t>
      </w:r>
    </w:p>
    <w:p w14:paraId="31A9ADA2">
      <w:pPr>
        <w:spacing w:line="560" w:lineRule="exact"/>
        <w:ind w:firstLine="640" w:firstLineChars="200"/>
      </w:pPr>
      <w:r>
        <w:rPr>
          <w:rFonts w:hint="eastAsia" w:ascii="仿宋" w:hAnsi="仿宋" w:eastAsia="仿宋"/>
          <w:sz w:val="32"/>
          <w:szCs w:val="32"/>
        </w:rPr>
        <w:t>从自评情况看，我院项目总体立项比较规范，绩效目标明确，预算编制较为合理，预算执行及时、有效，资金及时到位，各项管理制度健全并且能有效执行，绩效目标得到较好实现，部门履职水平不断提高，但也存在部分项目指标低于预期</w:t>
      </w:r>
      <w:r>
        <w:rPr>
          <w:rFonts w:hint="eastAsia" w:ascii="仿宋" w:hAnsi="仿宋" w:eastAsia="仿宋"/>
          <w:sz w:val="32"/>
          <w:szCs w:val="32"/>
          <w:lang w:val="en-US" w:eastAsia="zh-CN"/>
        </w:rPr>
        <w:t>的</w:t>
      </w:r>
      <w:r>
        <w:rPr>
          <w:rFonts w:hint="eastAsia" w:ascii="仿宋" w:hAnsi="仿宋" w:eastAsia="仿宋"/>
          <w:sz w:val="32"/>
          <w:szCs w:val="32"/>
        </w:rPr>
        <w:t>问题。主要问题有我院劳动聘用人员和聘用制书记员人员流动较大，稳定率较低。业务办案部门案件办理数量未达到目标。</w:t>
      </w:r>
    </w:p>
    <w:p w14:paraId="2E4FD2EB">
      <w:pPr>
        <w:spacing w:line="560" w:lineRule="exact"/>
        <w:ind w:firstLine="640" w:firstLineChars="200"/>
        <w:rPr>
          <w:rFonts w:ascii="楷体" w:hAnsi="楷体" w:eastAsia="楷体"/>
          <w:bCs/>
          <w:sz w:val="32"/>
          <w:szCs w:val="32"/>
        </w:rPr>
      </w:pPr>
      <w:r>
        <w:rPr>
          <w:rFonts w:hint="eastAsia" w:ascii="楷体" w:hAnsi="楷体" w:eastAsia="楷体"/>
          <w:bCs/>
          <w:sz w:val="32"/>
          <w:szCs w:val="32"/>
        </w:rPr>
        <w:t>（二）针对问题提出具体的改进措施或建议</w:t>
      </w:r>
    </w:p>
    <w:p w14:paraId="1481D82C">
      <w:pPr>
        <w:spacing w:line="560" w:lineRule="exact"/>
        <w:ind w:firstLine="640" w:firstLineChars="200"/>
        <w:rPr>
          <w:rFonts w:ascii="仿宋" w:hAnsi="仿宋" w:eastAsia="仿宋"/>
          <w:sz w:val="32"/>
          <w:szCs w:val="32"/>
        </w:rPr>
      </w:pPr>
      <w:r>
        <w:rPr>
          <w:rFonts w:hint="eastAsia" w:ascii="仿宋" w:hAnsi="仿宋" w:eastAsia="仿宋"/>
          <w:sz w:val="32"/>
          <w:szCs w:val="32"/>
        </w:rPr>
        <w:t>1、针对具体项目的问题，如我院劳动聘用人员和书记员人员流动较大问题，我院将合理安排其工作，建立合适的工资增长机制，提高其工作积极性。对于案件数量问题，我院将结合我院实际，加强与业务部门的沟通协调，制定合理的绩效目标，避免目标脱离实际，也避免目标过低。</w:t>
      </w:r>
    </w:p>
    <w:p w14:paraId="28BBC0EF">
      <w:pPr>
        <w:spacing w:line="560" w:lineRule="exact"/>
        <w:ind w:firstLine="640" w:firstLineChars="200"/>
        <w:rPr>
          <w:rFonts w:ascii="仿宋" w:hAnsi="仿宋" w:eastAsia="仿宋"/>
          <w:sz w:val="32"/>
          <w:szCs w:val="32"/>
        </w:rPr>
      </w:pPr>
      <w:r>
        <w:rPr>
          <w:rFonts w:hint="eastAsia" w:ascii="仿宋" w:hAnsi="仿宋" w:eastAsia="仿宋"/>
          <w:sz w:val="32"/>
          <w:szCs w:val="32"/>
        </w:rPr>
        <w:t>2、强化绩效目标管理工作。充分挖掘项目实施的价值和意义，根据项目实际情况设置完善的绩效目标，做到绩效目标针对项目特点清晰明确且细化，有量化的绩效指标且能清晰反映绩效可实现程度，绩效目标依据充分。做好绩效监控管理工作，建立监控制度，确保绩效目标如期实现。</w:t>
      </w:r>
    </w:p>
    <w:p w14:paraId="65862311">
      <w:pPr>
        <w:spacing w:line="560" w:lineRule="exact"/>
        <w:ind w:firstLine="640" w:firstLineChars="200"/>
        <w:rPr>
          <w:rFonts w:hint="eastAsia" w:ascii="仿宋" w:hAnsi="仿宋" w:eastAsia="仿宋"/>
          <w:sz w:val="32"/>
          <w:szCs w:val="32"/>
        </w:rPr>
      </w:pPr>
      <w:r>
        <w:rPr>
          <w:rFonts w:hint="eastAsia" w:ascii="仿宋" w:hAnsi="仿宋" w:eastAsia="仿宋"/>
          <w:sz w:val="32"/>
          <w:szCs w:val="32"/>
        </w:rPr>
        <w:t>3、多措并举提升预算执行率。为提高预算执行率，我院应提前谋划制定较为详细的资金使用明细和计划，以提升预算执行率。</w:t>
      </w:r>
    </w:p>
    <w:p w14:paraId="406E8488">
      <w:pPr>
        <w:pStyle w:val="2"/>
        <w:rPr>
          <w:rFonts w:hint="eastAsia" w:ascii="仿宋" w:hAnsi="仿宋" w:eastAsia="仿宋"/>
          <w:sz w:val="32"/>
          <w:szCs w:val="32"/>
        </w:rPr>
      </w:pPr>
    </w:p>
    <w:p w14:paraId="703C9EFD">
      <w:pPr>
        <w:rPr>
          <w:rFonts w:hint="eastAsia" w:ascii="仿宋" w:hAnsi="仿宋" w:eastAsia="仿宋"/>
          <w:sz w:val="32"/>
          <w:szCs w:val="32"/>
        </w:rPr>
      </w:pPr>
    </w:p>
    <w:p w14:paraId="2577E1CF">
      <w:pPr>
        <w:pStyle w:val="2"/>
        <w:ind w:firstLine="5440" w:firstLineChars="1700"/>
        <w:rPr>
          <w:rFonts w:hint="default" w:eastAsia="仿宋"/>
          <w:lang w:val="en-US" w:eastAsia="zh-CN"/>
        </w:rPr>
      </w:pPr>
      <w:r>
        <w:rPr>
          <w:rFonts w:hint="eastAsia" w:ascii="仿宋" w:hAnsi="仿宋" w:eastAsia="仿宋"/>
          <w:sz w:val="32"/>
          <w:szCs w:val="32"/>
          <w:lang w:val="en-US" w:eastAsia="zh-CN"/>
        </w:rPr>
        <w:t>2026年4月28日</w:t>
      </w:r>
      <w:bookmarkStart w:id="0" w:name="_GoBack"/>
      <w:bookmarkEnd w:id="0"/>
    </w:p>
    <w:p w14:paraId="07A01489">
      <w:pPr>
        <w:pStyle w:val="2"/>
        <w:rPr>
          <w:rFonts w:hint="default" w:eastAsia="仿宋"/>
          <w:lang w:val="en-US" w:eastAsia="zh-CN"/>
        </w:rPr>
      </w:pPr>
      <w:r>
        <w:rPr>
          <w:rFonts w:hint="eastAsia" w:ascii="仿宋" w:hAnsi="仿宋" w:eastAsia="仿宋"/>
          <w:sz w:val="32"/>
          <w:szCs w:val="32"/>
          <w:lang w:val="en-US" w:eastAsia="zh-CN"/>
        </w:rPr>
        <w:t xml:space="preserve">                       </w:t>
      </w: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D3E62">
    <w:pPr>
      <w:pStyle w:val="4"/>
    </w:pPr>
    <w:r>
      <w:pict>
        <v:shape id="Quad Arrow 3073"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14:paraId="1CD7A130">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343747"/>
    <w:multiLevelType w:val="singleLevel"/>
    <w:tmpl w:val="A5343747"/>
    <w:lvl w:ilvl="0" w:tentative="0">
      <w:start w:val="2"/>
      <w:numFmt w:val="chineseCounting"/>
      <w:suff w:val="nothing"/>
      <w:lvlText w:val="（%1）"/>
      <w:lvlJc w:val="left"/>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YzgxMzVhZTBlNDUyZWUxNDVhMjNkN2E1NjFlOTE5NDcifQ=="/>
  </w:docVars>
  <w:rsids>
    <w:rsidRoot w:val="0EBD2122"/>
    <w:rsid w:val="000B0260"/>
    <w:rsid w:val="001F187B"/>
    <w:rsid w:val="007E6C1F"/>
    <w:rsid w:val="00956A93"/>
    <w:rsid w:val="009E575C"/>
    <w:rsid w:val="00AF167E"/>
    <w:rsid w:val="00AF566A"/>
    <w:rsid w:val="00B478EA"/>
    <w:rsid w:val="00B6553A"/>
    <w:rsid w:val="00BC6576"/>
    <w:rsid w:val="00CE06BA"/>
    <w:rsid w:val="00F441CC"/>
    <w:rsid w:val="01B104CA"/>
    <w:rsid w:val="01D92217"/>
    <w:rsid w:val="02106AB0"/>
    <w:rsid w:val="02B43A28"/>
    <w:rsid w:val="046F331E"/>
    <w:rsid w:val="07956271"/>
    <w:rsid w:val="09721397"/>
    <w:rsid w:val="0BB63BED"/>
    <w:rsid w:val="0EB97A43"/>
    <w:rsid w:val="0EBD2122"/>
    <w:rsid w:val="0F214EAE"/>
    <w:rsid w:val="0F9D3D2C"/>
    <w:rsid w:val="10BC5AA5"/>
    <w:rsid w:val="11433163"/>
    <w:rsid w:val="11B71E6A"/>
    <w:rsid w:val="132126D8"/>
    <w:rsid w:val="13FF42B8"/>
    <w:rsid w:val="158C5C66"/>
    <w:rsid w:val="177B1AD5"/>
    <w:rsid w:val="1AAF0063"/>
    <w:rsid w:val="1B740D26"/>
    <w:rsid w:val="1BE140DE"/>
    <w:rsid w:val="1CBE23B8"/>
    <w:rsid w:val="1E542E40"/>
    <w:rsid w:val="216D7385"/>
    <w:rsid w:val="22C24A14"/>
    <w:rsid w:val="248C197D"/>
    <w:rsid w:val="252959AF"/>
    <w:rsid w:val="277A6671"/>
    <w:rsid w:val="28886E0E"/>
    <w:rsid w:val="292D35B7"/>
    <w:rsid w:val="298A1EB4"/>
    <w:rsid w:val="2E545310"/>
    <w:rsid w:val="33EB6CFF"/>
    <w:rsid w:val="342C1A48"/>
    <w:rsid w:val="35A12947"/>
    <w:rsid w:val="37387040"/>
    <w:rsid w:val="37701980"/>
    <w:rsid w:val="3B625C0A"/>
    <w:rsid w:val="3CEE1963"/>
    <w:rsid w:val="3D0657A9"/>
    <w:rsid w:val="3F2D4F70"/>
    <w:rsid w:val="424469C5"/>
    <w:rsid w:val="436B78D3"/>
    <w:rsid w:val="486E0AE4"/>
    <w:rsid w:val="4A2F4EC1"/>
    <w:rsid w:val="4A4C47F2"/>
    <w:rsid w:val="4C9C27FE"/>
    <w:rsid w:val="4E036E8C"/>
    <w:rsid w:val="502A44B1"/>
    <w:rsid w:val="5091713A"/>
    <w:rsid w:val="512260B4"/>
    <w:rsid w:val="52BD6ACB"/>
    <w:rsid w:val="55537534"/>
    <w:rsid w:val="561A74F1"/>
    <w:rsid w:val="56A603BA"/>
    <w:rsid w:val="58B17416"/>
    <w:rsid w:val="597244E8"/>
    <w:rsid w:val="59F81A2B"/>
    <w:rsid w:val="5C5E7F8F"/>
    <w:rsid w:val="5CEC1AD4"/>
    <w:rsid w:val="5DD43E37"/>
    <w:rsid w:val="5EB71C30"/>
    <w:rsid w:val="5EF9755F"/>
    <w:rsid w:val="60DE4A64"/>
    <w:rsid w:val="61076B12"/>
    <w:rsid w:val="6459610E"/>
    <w:rsid w:val="66AF0CE5"/>
    <w:rsid w:val="68AC2130"/>
    <w:rsid w:val="6AC537CF"/>
    <w:rsid w:val="6B464D0B"/>
    <w:rsid w:val="6BFD4716"/>
    <w:rsid w:val="6E5B14A6"/>
    <w:rsid w:val="711B255E"/>
    <w:rsid w:val="7BB51E06"/>
    <w:rsid w:val="7BFB166A"/>
    <w:rsid w:val="7C387F7C"/>
    <w:rsid w:val="7FE83423"/>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unhideWhenUsed/>
    <w:qFormat/>
    <w:uiPriority w:val="99"/>
    <w:pPr>
      <w:ind w:left="200" w:firstLine="420" w:firstLineChars="200"/>
    </w:pPr>
    <w:rPr>
      <w:rFonts w:ascii="Times New Roman" w:hAnsi="Times New Roman" w:eastAsia="仿宋_GB2312" w:cs="Times New Roman"/>
      <w:sz w:val="32"/>
    </w:rPr>
  </w:style>
  <w:style w:type="paragraph" w:styleId="3">
    <w:name w:val="Body Text Indent"/>
    <w:basedOn w:val="1"/>
    <w:qFormat/>
    <w:uiPriority w:val="0"/>
    <w:pPr>
      <w:ind w:firstLine="63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customStyle="1" w:styleId="8">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9">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0">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5.emf"/><Relationship Id="rId8" Type="http://schemas.openxmlformats.org/officeDocument/2006/relationships/image" Target="media/image4.emf"/><Relationship Id="rId7" Type="http://schemas.openxmlformats.org/officeDocument/2006/relationships/image" Target="media/image3.emf"/><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573</Words>
  <Characters>590</Characters>
  <Lines>4</Lines>
  <Paragraphs>1</Paragraphs>
  <TotalTime>34</TotalTime>
  <ScaleCrop>false</ScaleCrop>
  <LinksUpToDate>false</LinksUpToDate>
  <CharactersWithSpaces>612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86151</cp:lastModifiedBy>
  <cp:lastPrinted>2026-04-28T02:13:00Z</cp:lastPrinted>
  <dcterms:modified xsi:type="dcterms:W3CDTF">2026-05-14T06:51:15Z</dcterms:modified>
  <dc:title>附件3：</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96934721B1514D3FBAA28020338CE855_12</vt:lpwstr>
  </property>
  <property fmtid="{D5CDD505-2E9C-101B-9397-08002B2CF9AE}" pid="4" name="KSOTemplateDocerSaveRecord">
    <vt:lpwstr>eyJoZGlkIjoiMDRiNGJkYjBiMjRiNTM2Zjk5YWM2NmU3YTc2OThjMTYiLCJ1c2VySWQiOiIxMDI2NzA5MTgxIn0=</vt:lpwstr>
  </property>
</Properties>
</file>